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34A" w:rsidRPr="00B7434A" w:rsidRDefault="00B7434A" w:rsidP="00FC33E2">
      <w:pPr>
        <w:autoSpaceDE w:val="0"/>
        <w:autoSpaceDN w:val="0"/>
        <w:adjustRightInd w:val="0"/>
        <w:spacing w:after="0" w:line="360" w:lineRule="auto"/>
        <w:jc w:val="both"/>
        <w:rPr>
          <w:rFonts w:ascii="Arial" w:hAnsi="Arial" w:cs="Arial"/>
          <w:b/>
          <w:bCs/>
          <w:sz w:val="28"/>
          <w:szCs w:val="28"/>
          <w:lang w:val="es-ES"/>
        </w:rPr>
      </w:pPr>
      <w:r w:rsidRPr="00B7434A">
        <w:rPr>
          <w:rFonts w:ascii="Arial" w:hAnsi="Arial" w:cs="Arial"/>
          <w:b/>
          <w:bCs/>
          <w:sz w:val="28"/>
          <w:szCs w:val="28"/>
          <w:lang w:val="es-ES"/>
        </w:rPr>
        <w:t>Los anticuerpos de dominio simple hacen la diferencia.</w:t>
      </w:r>
    </w:p>
    <w:p w:rsidR="00B7434A" w:rsidRDefault="00FC33E2" w:rsidP="00FC33E2">
      <w:pPr>
        <w:autoSpaceDE w:val="0"/>
        <w:autoSpaceDN w:val="0"/>
        <w:adjustRightInd w:val="0"/>
        <w:spacing w:after="0" w:line="360" w:lineRule="auto"/>
        <w:jc w:val="both"/>
        <w:rPr>
          <w:rFonts w:ascii="Arial" w:hAnsi="Arial" w:cs="Arial"/>
          <w:bCs/>
          <w:sz w:val="24"/>
          <w:szCs w:val="24"/>
          <w:lang w:val="es-ES"/>
        </w:rPr>
      </w:pPr>
      <w:r w:rsidRPr="00FC33E2">
        <w:rPr>
          <w:rFonts w:ascii="Arial" w:hAnsi="Arial" w:cs="Arial"/>
          <w:bCs/>
          <w:sz w:val="24"/>
          <w:szCs w:val="24"/>
          <w:lang w:val="es-ES"/>
        </w:rPr>
        <w:t>Un doble hit con una construcción de anticuerpo puede prever el escape viral</w:t>
      </w:r>
    </w:p>
    <w:p w:rsidR="00FC33E2" w:rsidRPr="00FC33E2" w:rsidRDefault="00FC33E2" w:rsidP="00FC33E2">
      <w:pPr>
        <w:autoSpaceDE w:val="0"/>
        <w:autoSpaceDN w:val="0"/>
        <w:adjustRightInd w:val="0"/>
        <w:spacing w:after="0" w:line="360" w:lineRule="auto"/>
        <w:jc w:val="both"/>
        <w:rPr>
          <w:rFonts w:ascii="Arial" w:hAnsi="Arial" w:cs="Arial"/>
          <w:bCs/>
          <w:sz w:val="20"/>
          <w:szCs w:val="20"/>
        </w:rPr>
      </w:pPr>
      <w:proofErr w:type="spellStart"/>
      <w:r w:rsidRPr="00FC33E2">
        <w:rPr>
          <w:rFonts w:ascii="Arial" w:hAnsi="Arial" w:cs="Arial"/>
          <w:bCs/>
          <w:sz w:val="20"/>
          <w:szCs w:val="20"/>
        </w:rPr>
        <w:t>Autores</w:t>
      </w:r>
      <w:proofErr w:type="spellEnd"/>
      <w:r>
        <w:rPr>
          <w:rFonts w:ascii="Arial" w:hAnsi="Arial" w:cs="Arial"/>
          <w:bCs/>
          <w:sz w:val="20"/>
          <w:szCs w:val="20"/>
        </w:rPr>
        <w:t>;</w:t>
      </w:r>
      <w:r w:rsidRPr="00FC33E2">
        <w:rPr>
          <w:rFonts w:ascii="Arial" w:hAnsi="Arial" w:cs="Arial"/>
          <w:i/>
          <w:iCs/>
          <w:sz w:val="20"/>
          <w:szCs w:val="20"/>
        </w:rPr>
        <w:t xml:space="preserve"> </w:t>
      </w:r>
      <w:r w:rsidRPr="00FC33E2">
        <w:rPr>
          <w:rFonts w:ascii="Arial" w:hAnsi="Arial" w:cs="Arial"/>
          <w:bCs/>
          <w:sz w:val="20"/>
          <w:szCs w:val="20"/>
        </w:rPr>
        <w:t xml:space="preserve">Xavier </w:t>
      </w:r>
      <w:proofErr w:type="spellStart"/>
      <w:r w:rsidRPr="00FC33E2">
        <w:rPr>
          <w:rFonts w:ascii="Arial" w:hAnsi="Arial" w:cs="Arial"/>
          <w:bCs/>
          <w:sz w:val="20"/>
          <w:szCs w:val="20"/>
        </w:rPr>
        <w:t>Saelens</w:t>
      </w:r>
      <w:proofErr w:type="spellEnd"/>
      <w:r w:rsidRPr="00FC33E2">
        <w:rPr>
          <w:rFonts w:ascii="Arial" w:hAnsi="Arial" w:cs="Arial"/>
          <w:bCs/>
          <w:sz w:val="20"/>
          <w:szCs w:val="20"/>
        </w:rPr>
        <w:t xml:space="preserve"> </w:t>
      </w:r>
      <w:r w:rsidRPr="00FC33E2">
        <w:rPr>
          <w:rFonts w:ascii="Arial" w:hAnsi="Arial" w:cs="Arial"/>
          <w:bCs/>
          <w:sz w:val="20"/>
          <w:szCs w:val="20"/>
          <w:vertAlign w:val="superscript"/>
        </w:rPr>
        <w:t>1</w:t>
      </w:r>
      <w:proofErr w:type="gramStart"/>
      <w:r w:rsidRPr="00FC33E2">
        <w:rPr>
          <w:rFonts w:ascii="Arial" w:hAnsi="Arial" w:cs="Arial"/>
          <w:bCs/>
          <w:sz w:val="20"/>
          <w:szCs w:val="20"/>
          <w:vertAlign w:val="superscript"/>
        </w:rPr>
        <w:t>,2</w:t>
      </w:r>
      <w:proofErr w:type="gramEnd"/>
      <w:r w:rsidRPr="00FC33E2">
        <w:rPr>
          <w:rFonts w:ascii="Arial" w:hAnsi="Arial" w:cs="Arial"/>
          <w:bCs/>
          <w:sz w:val="20"/>
          <w:szCs w:val="20"/>
        </w:rPr>
        <w:t xml:space="preserve"> </w:t>
      </w:r>
      <w:r w:rsidRPr="00FC33E2">
        <w:rPr>
          <w:rFonts w:ascii="Arial" w:hAnsi="Arial" w:cs="Arial"/>
          <w:i/>
          <w:iCs/>
          <w:sz w:val="20"/>
          <w:szCs w:val="20"/>
        </w:rPr>
        <w:t xml:space="preserve">and </w:t>
      </w:r>
      <w:r w:rsidRPr="00FC33E2">
        <w:rPr>
          <w:rFonts w:ascii="Arial" w:hAnsi="Arial" w:cs="Arial"/>
          <w:bCs/>
          <w:sz w:val="20"/>
          <w:szCs w:val="20"/>
        </w:rPr>
        <w:t xml:space="preserve">Bert </w:t>
      </w:r>
      <w:proofErr w:type="spellStart"/>
      <w:r w:rsidRPr="00FC33E2">
        <w:rPr>
          <w:rFonts w:ascii="Arial" w:hAnsi="Arial" w:cs="Arial"/>
          <w:bCs/>
          <w:sz w:val="20"/>
          <w:szCs w:val="20"/>
        </w:rPr>
        <w:t>Schepens</w:t>
      </w:r>
      <w:proofErr w:type="spellEnd"/>
      <w:r w:rsidRPr="00FC33E2">
        <w:rPr>
          <w:rFonts w:ascii="Arial" w:hAnsi="Arial" w:cs="Arial"/>
          <w:bCs/>
          <w:sz w:val="20"/>
          <w:szCs w:val="20"/>
        </w:rPr>
        <w:t xml:space="preserve"> </w:t>
      </w:r>
      <w:r w:rsidRPr="00FC33E2">
        <w:rPr>
          <w:rFonts w:ascii="Arial" w:hAnsi="Arial" w:cs="Arial"/>
          <w:bCs/>
          <w:sz w:val="20"/>
          <w:szCs w:val="20"/>
          <w:vertAlign w:val="superscript"/>
        </w:rPr>
        <w:t>1,2</w:t>
      </w:r>
    </w:p>
    <w:p w:rsidR="00C148CA" w:rsidRDefault="00C148CA" w:rsidP="00C148CA">
      <w:pPr>
        <w:autoSpaceDE w:val="0"/>
        <w:autoSpaceDN w:val="0"/>
        <w:adjustRightInd w:val="0"/>
        <w:spacing w:after="0" w:line="240" w:lineRule="auto"/>
        <w:rPr>
          <w:rFonts w:ascii="Arial" w:hAnsi="Arial" w:cs="Arial"/>
          <w:sz w:val="16"/>
          <w:szCs w:val="16"/>
        </w:rPr>
      </w:pPr>
      <w:r w:rsidRPr="00C148CA">
        <w:rPr>
          <w:rFonts w:ascii="Arial" w:hAnsi="Arial" w:cs="Arial"/>
          <w:sz w:val="20"/>
          <w:szCs w:val="20"/>
          <w:vertAlign w:val="superscript"/>
        </w:rPr>
        <w:t>1</w:t>
      </w:r>
      <w:r w:rsidRPr="00C148CA">
        <w:rPr>
          <w:rFonts w:ascii="Arial" w:hAnsi="Arial" w:cs="Arial"/>
          <w:sz w:val="16"/>
          <w:szCs w:val="16"/>
        </w:rPr>
        <w:t>VIB-UGent Center for Medical Biotechnology, VIB, Ghent,</w:t>
      </w:r>
      <w:r>
        <w:rPr>
          <w:rFonts w:ascii="Arial" w:hAnsi="Arial" w:cs="Arial"/>
          <w:sz w:val="16"/>
          <w:szCs w:val="16"/>
        </w:rPr>
        <w:t xml:space="preserve"> </w:t>
      </w:r>
      <w:r w:rsidRPr="00C148CA">
        <w:rPr>
          <w:rFonts w:ascii="Arial" w:hAnsi="Arial" w:cs="Arial"/>
          <w:sz w:val="16"/>
          <w:szCs w:val="16"/>
        </w:rPr>
        <w:t>Belgium.</w:t>
      </w:r>
    </w:p>
    <w:p w:rsidR="00C148CA" w:rsidRPr="00855C50" w:rsidRDefault="00C148CA" w:rsidP="00C148CA">
      <w:pPr>
        <w:autoSpaceDE w:val="0"/>
        <w:autoSpaceDN w:val="0"/>
        <w:adjustRightInd w:val="0"/>
        <w:spacing w:after="0" w:line="240" w:lineRule="auto"/>
        <w:rPr>
          <w:rFonts w:ascii="Arial" w:hAnsi="Arial" w:cs="Arial"/>
          <w:sz w:val="16"/>
          <w:szCs w:val="16"/>
          <w:lang w:val="es-ES"/>
        </w:rPr>
      </w:pPr>
      <w:r w:rsidRPr="00C148CA">
        <w:rPr>
          <w:rFonts w:ascii="Arial" w:hAnsi="Arial" w:cs="Arial"/>
          <w:sz w:val="20"/>
          <w:szCs w:val="20"/>
          <w:vertAlign w:val="superscript"/>
        </w:rPr>
        <w:t>2</w:t>
      </w:r>
      <w:r w:rsidRPr="00C148CA">
        <w:rPr>
          <w:rFonts w:ascii="Arial" w:hAnsi="Arial" w:cs="Arial"/>
          <w:sz w:val="16"/>
          <w:szCs w:val="16"/>
        </w:rPr>
        <w:t>Department of Biochemistry and Microbiology,</w:t>
      </w:r>
      <w:r>
        <w:rPr>
          <w:rFonts w:ascii="Arial" w:hAnsi="Arial" w:cs="Arial"/>
          <w:sz w:val="16"/>
          <w:szCs w:val="16"/>
        </w:rPr>
        <w:t xml:space="preserve"> </w:t>
      </w:r>
      <w:r w:rsidRPr="00C148CA">
        <w:rPr>
          <w:rFonts w:ascii="Arial" w:hAnsi="Arial" w:cs="Arial"/>
          <w:sz w:val="16"/>
          <w:szCs w:val="16"/>
        </w:rPr>
        <w:t xml:space="preserve">Ghent University, Ghent, Belgium. </w:t>
      </w:r>
      <w:r w:rsidRPr="00855C50">
        <w:rPr>
          <w:rFonts w:ascii="Arial" w:hAnsi="Arial" w:cs="Arial"/>
          <w:sz w:val="16"/>
          <w:szCs w:val="16"/>
          <w:lang w:val="es-ES"/>
        </w:rPr>
        <w:t xml:space="preserve">Email: </w:t>
      </w:r>
      <w:proofErr w:type="spellStart"/>
      <w:r w:rsidRPr="00855C50">
        <w:rPr>
          <w:rFonts w:ascii="Arial" w:hAnsi="Arial" w:cs="Arial"/>
          <w:sz w:val="16"/>
          <w:szCs w:val="16"/>
          <w:lang w:val="es-ES"/>
        </w:rPr>
        <w:t>xavier.saelens</w:t>
      </w:r>
      <w:proofErr w:type="spellEnd"/>
      <w:r w:rsidRPr="00855C50">
        <w:rPr>
          <w:rFonts w:ascii="Arial" w:hAnsi="Arial" w:cs="Arial"/>
          <w:sz w:val="16"/>
          <w:szCs w:val="16"/>
          <w:lang w:val="es-ES"/>
        </w:rPr>
        <w:t>@</w:t>
      </w:r>
    </w:p>
    <w:p w:rsidR="00B7434A" w:rsidRPr="0036024A" w:rsidRDefault="00C148CA" w:rsidP="00C148CA">
      <w:pPr>
        <w:autoSpaceDE w:val="0"/>
        <w:autoSpaceDN w:val="0"/>
        <w:adjustRightInd w:val="0"/>
        <w:spacing w:after="0" w:line="240" w:lineRule="auto"/>
        <w:rPr>
          <w:rFonts w:ascii="Arial" w:hAnsi="Arial" w:cs="Arial"/>
          <w:sz w:val="16"/>
          <w:szCs w:val="16"/>
          <w:lang w:val="es-ES"/>
        </w:rPr>
      </w:pPr>
      <w:proofErr w:type="gramStart"/>
      <w:r w:rsidRPr="0036024A">
        <w:rPr>
          <w:rFonts w:ascii="Arial" w:hAnsi="Arial" w:cs="Arial"/>
          <w:sz w:val="16"/>
          <w:szCs w:val="16"/>
          <w:lang w:val="es-ES"/>
        </w:rPr>
        <w:t>vib-ugent.be</w:t>
      </w:r>
      <w:proofErr w:type="gramEnd"/>
      <w:r w:rsidRPr="0036024A">
        <w:rPr>
          <w:rFonts w:ascii="Arial" w:hAnsi="Arial" w:cs="Arial"/>
          <w:sz w:val="16"/>
          <w:szCs w:val="16"/>
          <w:lang w:val="es-ES"/>
        </w:rPr>
        <w:t xml:space="preserve">; </w:t>
      </w:r>
      <w:hyperlink r:id="rId7" w:history="1">
        <w:r w:rsidR="00DF30D6" w:rsidRPr="0036024A">
          <w:rPr>
            <w:rStyle w:val="Hipervnculo"/>
            <w:rFonts w:ascii="Arial" w:hAnsi="Arial" w:cs="Arial"/>
            <w:sz w:val="16"/>
            <w:szCs w:val="16"/>
            <w:lang w:val="es-ES"/>
          </w:rPr>
          <w:t>bert.schepens@vib-ugent.be</w:t>
        </w:r>
      </w:hyperlink>
    </w:p>
    <w:p w:rsidR="00DF30D6" w:rsidRPr="0036024A" w:rsidRDefault="00DF30D6" w:rsidP="00C148CA">
      <w:pPr>
        <w:autoSpaceDE w:val="0"/>
        <w:autoSpaceDN w:val="0"/>
        <w:adjustRightInd w:val="0"/>
        <w:spacing w:after="0" w:line="240" w:lineRule="auto"/>
        <w:rPr>
          <w:rFonts w:ascii="Arial" w:hAnsi="Arial" w:cs="Arial"/>
          <w:sz w:val="16"/>
          <w:szCs w:val="16"/>
          <w:lang w:val="es-ES"/>
        </w:rPr>
      </w:pPr>
    </w:p>
    <w:p w:rsidR="00DF30D6" w:rsidRPr="00CA532F" w:rsidRDefault="00DF30D6" w:rsidP="00DF30D6">
      <w:pPr>
        <w:autoSpaceDE w:val="0"/>
        <w:autoSpaceDN w:val="0"/>
        <w:adjustRightInd w:val="0"/>
        <w:spacing w:after="0" w:line="360" w:lineRule="auto"/>
        <w:jc w:val="both"/>
        <w:rPr>
          <w:rFonts w:ascii="Arial" w:hAnsi="Arial" w:cs="Arial"/>
          <w:sz w:val="24"/>
          <w:szCs w:val="24"/>
          <w:lang w:val="es-ES"/>
        </w:rPr>
      </w:pPr>
    </w:p>
    <w:p w:rsidR="00FA3CC6" w:rsidRDefault="00CA532F" w:rsidP="00A459B5">
      <w:pPr>
        <w:autoSpaceDE w:val="0"/>
        <w:autoSpaceDN w:val="0"/>
        <w:adjustRightInd w:val="0"/>
        <w:spacing w:after="0" w:line="360" w:lineRule="auto"/>
        <w:jc w:val="both"/>
        <w:rPr>
          <w:rFonts w:ascii="Arial" w:hAnsi="Arial" w:cs="Arial"/>
          <w:sz w:val="24"/>
          <w:szCs w:val="24"/>
          <w:lang w:val="es-ES"/>
        </w:rPr>
      </w:pPr>
      <w:r w:rsidRPr="00CA532F">
        <w:rPr>
          <w:rFonts w:ascii="Arial" w:hAnsi="Arial" w:cs="Arial"/>
          <w:sz w:val="24"/>
          <w:szCs w:val="24"/>
          <w:lang w:val="es-ES"/>
        </w:rPr>
        <w:t>La proteína espícula</w:t>
      </w:r>
      <w:r>
        <w:rPr>
          <w:rFonts w:ascii="Arial" w:hAnsi="Arial" w:cs="Arial"/>
          <w:sz w:val="24"/>
          <w:szCs w:val="24"/>
          <w:lang w:val="es-ES"/>
        </w:rPr>
        <w:t xml:space="preserve"> </w:t>
      </w:r>
      <w:r w:rsidR="0036024A">
        <w:rPr>
          <w:rFonts w:ascii="Arial" w:hAnsi="Arial" w:cs="Arial"/>
          <w:sz w:val="24"/>
          <w:szCs w:val="24"/>
          <w:lang w:val="es-ES"/>
        </w:rPr>
        <w:t xml:space="preserve">del </w:t>
      </w:r>
      <w:r>
        <w:rPr>
          <w:rFonts w:ascii="Arial" w:hAnsi="Arial" w:cs="Arial"/>
          <w:sz w:val="24"/>
          <w:szCs w:val="24"/>
          <w:lang w:val="es-ES"/>
        </w:rPr>
        <w:t>coronavirus 2 del síndrome respiratorio agudo grave</w:t>
      </w:r>
      <w:r w:rsidRPr="00CA532F">
        <w:rPr>
          <w:rFonts w:ascii="Arial" w:hAnsi="Arial" w:cs="Arial"/>
          <w:sz w:val="24"/>
          <w:szCs w:val="24"/>
          <w:lang w:val="es-ES"/>
        </w:rPr>
        <w:t xml:space="preserve"> </w:t>
      </w:r>
      <w:r>
        <w:rPr>
          <w:rFonts w:ascii="Arial" w:hAnsi="Arial" w:cs="Arial"/>
          <w:sz w:val="24"/>
          <w:szCs w:val="24"/>
          <w:lang w:val="es-ES"/>
        </w:rPr>
        <w:t>(SARS-CoV-2</w:t>
      </w:r>
      <w:r w:rsidR="0036024A">
        <w:rPr>
          <w:rFonts w:ascii="Arial" w:hAnsi="Arial" w:cs="Arial"/>
          <w:sz w:val="24"/>
          <w:szCs w:val="24"/>
          <w:lang w:val="es-ES"/>
        </w:rPr>
        <w:t>)</w:t>
      </w:r>
      <w:r>
        <w:rPr>
          <w:rFonts w:ascii="Arial" w:hAnsi="Arial" w:cs="Arial"/>
          <w:sz w:val="24"/>
          <w:szCs w:val="24"/>
          <w:lang w:val="es-ES"/>
        </w:rPr>
        <w:t xml:space="preserve">, el agente causante de la covid-19, media </w:t>
      </w:r>
      <w:r w:rsidR="007239DF">
        <w:rPr>
          <w:rFonts w:ascii="Arial" w:hAnsi="Arial" w:cs="Arial"/>
          <w:sz w:val="24"/>
          <w:szCs w:val="24"/>
          <w:lang w:val="es-ES"/>
        </w:rPr>
        <w:t>el acoplamiento</w:t>
      </w:r>
      <w:r>
        <w:rPr>
          <w:rFonts w:ascii="Arial" w:hAnsi="Arial" w:cs="Arial"/>
          <w:sz w:val="24"/>
          <w:szCs w:val="24"/>
          <w:lang w:val="es-ES"/>
        </w:rPr>
        <w:t xml:space="preserve"> del virión a la célula </w:t>
      </w:r>
      <w:r w:rsidR="007239DF">
        <w:rPr>
          <w:rFonts w:ascii="Arial" w:hAnsi="Arial" w:cs="Arial"/>
          <w:sz w:val="24"/>
          <w:szCs w:val="24"/>
          <w:lang w:val="es-ES"/>
        </w:rPr>
        <w:t>anfitriona</w:t>
      </w:r>
      <w:r>
        <w:rPr>
          <w:rFonts w:ascii="Arial" w:hAnsi="Arial" w:cs="Arial"/>
          <w:sz w:val="24"/>
          <w:szCs w:val="24"/>
          <w:lang w:val="es-ES"/>
        </w:rPr>
        <w:t xml:space="preserve">, </w:t>
      </w:r>
      <w:r w:rsidR="007239DF">
        <w:rPr>
          <w:rFonts w:ascii="Arial" w:hAnsi="Arial" w:cs="Arial"/>
          <w:sz w:val="24"/>
          <w:szCs w:val="24"/>
          <w:lang w:val="es-ES"/>
        </w:rPr>
        <w:t>uniéndolo</w:t>
      </w:r>
      <w:r>
        <w:rPr>
          <w:rFonts w:ascii="Arial" w:hAnsi="Arial" w:cs="Arial"/>
          <w:sz w:val="24"/>
          <w:szCs w:val="24"/>
          <w:lang w:val="es-ES"/>
        </w:rPr>
        <w:t xml:space="preserve"> al receptor, y la fusión de la</w:t>
      </w:r>
      <w:r w:rsidR="00B26176">
        <w:rPr>
          <w:rFonts w:ascii="Arial" w:hAnsi="Arial" w:cs="Arial"/>
          <w:sz w:val="24"/>
          <w:szCs w:val="24"/>
          <w:lang w:val="es-ES"/>
        </w:rPr>
        <w:t>s</w:t>
      </w:r>
      <w:r>
        <w:rPr>
          <w:rFonts w:ascii="Arial" w:hAnsi="Arial" w:cs="Arial"/>
          <w:sz w:val="24"/>
          <w:szCs w:val="24"/>
          <w:lang w:val="es-ES"/>
        </w:rPr>
        <w:t xml:space="preserve"> membranas viral  y de la célula </w:t>
      </w:r>
      <w:r w:rsidR="007239DF">
        <w:rPr>
          <w:rFonts w:ascii="Arial" w:hAnsi="Arial" w:cs="Arial"/>
          <w:sz w:val="24"/>
          <w:szCs w:val="24"/>
          <w:lang w:val="es-ES"/>
        </w:rPr>
        <w:t>anfitriona</w:t>
      </w:r>
      <w:r>
        <w:rPr>
          <w:rFonts w:ascii="Arial" w:hAnsi="Arial" w:cs="Arial"/>
          <w:sz w:val="24"/>
          <w:szCs w:val="24"/>
          <w:lang w:val="es-ES"/>
        </w:rPr>
        <w:t xml:space="preserve">. Esto libera el ARN genómico viral en el citoplasma de la célula </w:t>
      </w:r>
      <w:r w:rsidR="007239DF">
        <w:rPr>
          <w:rFonts w:ascii="Arial" w:hAnsi="Arial" w:cs="Arial"/>
          <w:sz w:val="24"/>
          <w:szCs w:val="24"/>
          <w:lang w:val="es-ES"/>
        </w:rPr>
        <w:t>anfitriona</w:t>
      </w:r>
      <w:r>
        <w:rPr>
          <w:rFonts w:ascii="Arial" w:hAnsi="Arial" w:cs="Arial"/>
          <w:sz w:val="24"/>
          <w:szCs w:val="24"/>
          <w:lang w:val="es-ES"/>
        </w:rPr>
        <w:t>, que es el inicio de la replicación viral</w:t>
      </w:r>
      <w:r w:rsidR="0036024A">
        <w:rPr>
          <w:rFonts w:ascii="Arial" w:hAnsi="Arial" w:cs="Arial"/>
          <w:sz w:val="24"/>
          <w:szCs w:val="24"/>
          <w:lang w:val="es-ES"/>
        </w:rPr>
        <w:t xml:space="preserve">. Los anticuerpos que interfieren con la función </w:t>
      </w:r>
      <w:r w:rsidR="0036024A" w:rsidRPr="000F78F2">
        <w:rPr>
          <w:rFonts w:ascii="Arial" w:hAnsi="Arial" w:cs="Arial"/>
          <w:sz w:val="24"/>
          <w:szCs w:val="24"/>
          <w:lang w:val="es-ES"/>
        </w:rPr>
        <w:t>espícula</w:t>
      </w:r>
      <w:r w:rsidR="0036024A">
        <w:rPr>
          <w:rFonts w:ascii="Arial" w:hAnsi="Arial" w:cs="Arial"/>
          <w:sz w:val="24"/>
          <w:szCs w:val="24"/>
          <w:lang w:val="es-ES"/>
        </w:rPr>
        <w:t xml:space="preserve"> del SARS-CoV-2</w:t>
      </w:r>
      <w:r w:rsidR="0043469C">
        <w:rPr>
          <w:rFonts w:ascii="Arial" w:hAnsi="Arial" w:cs="Arial"/>
          <w:sz w:val="24"/>
          <w:szCs w:val="24"/>
          <w:lang w:val="es-ES"/>
        </w:rPr>
        <w:softHyphen/>
      </w:r>
      <w:r w:rsidR="0043469C" w:rsidRPr="0043469C">
        <w:rPr>
          <w:rFonts w:ascii="Arial" w:hAnsi="Arial" w:cs="Arial"/>
          <w:sz w:val="24"/>
          <w:szCs w:val="24"/>
          <w:vertAlign w:val="superscript"/>
          <w:lang w:val="es-ES"/>
        </w:rPr>
        <w:t>__</w:t>
      </w:r>
      <w:r w:rsidR="007239DF">
        <w:rPr>
          <w:rFonts w:ascii="Arial" w:hAnsi="Arial" w:cs="Arial"/>
          <w:sz w:val="24"/>
          <w:szCs w:val="24"/>
          <w:vertAlign w:val="superscript"/>
          <w:lang w:val="es-ES"/>
        </w:rPr>
        <w:t xml:space="preserve"> </w:t>
      </w:r>
      <w:r w:rsidR="0043469C">
        <w:rPr>
          <w:rFonts w:ascii="Arial" w:hAnsi="Arial" w:cs="Arial"/>
          <w:sz w:val="24"/>
          <w:szCs w:val="24"/>
          <w:lang w:val="es-ES"/>
        </w:rPr>
        <w:t>en particular, los anticuerpos que previenen la interacción entre el dominio de unión al receptor</w:t>
      </w:r>
      <w:r w:rsidR="00A459B5">
        <w:rPr>
          <w:rFonts w:ascii="Arial" w:hAnsi="Arial" w:cs="Arial"/>
          <w:sz w:val="24"/>
          <w:szCs w:val="24"/>
          <w:lang w:val="es-ES"/>
        </w:rPr>
        <w:t xml:space="preserve"> (RBD</w:t>
      </w:r>
      <w:r w:rsidR="0043469C">
        <w:rPr>
          <w:rFonts w:ascii="Arial" w:hAnsi="Arial" w:cs="Arial"/>
          <w:sz w:val="24"/>
          <w:szCs w:val="24"/>
          <w:lang w:val="es-ES"/>
        </w:rPr>
        <w:t xml:space="preserve"> </w:t>
      </w:r>
      <w:r w:rsidR="00A459B5">
        <w:rPr>
          <w:rFonts w:ascii="Arial" w:hAnsi="Arial" w:cs="Arial"/>
          <w:sz w:val="24"/>
          <w:szCs w:val="24"/>
          <w:lang w:val="es-ES"/>
        </w:rPr>
        <w:t xml:space="preserve">del inglés </w:t>
      </w:r>
      <w:r w:rsidR="00A459B5" w:rsidRPr="00A459B5">
        <w:rPr>
          <w:rFonts w:ascii="Arial" w:hAnsi="Arial" w:cs="Arial"/>
          <w:i/>
          <w:sz w:val="24"/>
          <w:szCs w:val="24"/>
          <w:lang w:val="es-ES"/>
        </w:rPr>
        <w:t>receptor-</w:t>
      </w:r>
      <w:proofErr w:type="spellStart"/>
      <w:r w:rsidR="00A459B5" w:rsidRPr="00A459B5">
        <w:rPr>
          <w:rFonts w:ascii="Arial" w:hAnsi="Arial" w:cs="Arial"/>
          <w:i/>
          <w:sz w:val="24"/>
          <w:szCs w:val="24"/>
          <w:lang w:val="es-ES"/>
        </w:rPr>
        <w:t>binding</w:t>
      </w:r>
      <w:proofErr w:type="spellEnd"/>
      <w:r w:rsidR="00A459B5" w:rsidRPr="00A459B5">
        <w:rPr>
          <w:rFonts w:ascii="Arial" w:hAnsi="Arial" w:cs="Arial"/>
          <w:i/>
          <w:sz w:val="24"/>
          <w:szCs w:val="24"/>
          <w:lang w:val="es-ES"/>
        </w:rPr>
        <w:t xml:space="preserve"> </w:t>
      </w:r>
      <w:proofErr w:type="spellStart"/>
      <w:r w:rsidR="00A459B5" w:rsidRPr="00A459B5">
        <w:rPr>
          <w:rFonts w:ascii="Arial" w:hAnsi="Arial" w:cs="Arial"/>
          <w:i/>
          <w:sz w:val="24"/>
          <w:szCs w:val="24"/>
          <w:lang w:val="es-ES"/>
        </w:rPr>
        <w:t>domain</w:t>
      </w:r>
      <w:proofErr w:type="spellEnd"/>
      <w:r w:rsidR="00A459B5">
        <w:rPr>
          <w:rFonts w:ascii="Arial" w:hAnsi="Arial" w:cs="Arial"/>
          <w:sz w:val="24"/>
          <w:szCs w:val="24"/>
          <w:lang w:val="es-ES"/>
        </w:rPr>
        <w:t xml:space="preserve">) </w:t>
      </w:r>
      <w:r w:rsidR="0043469C">
        <w:rPr>
          <w:rFonts w:ascii="Arial" w:hAnsi="Arial" w:cs="Arial"/>
          <w:sz w:val="24"/>
          <w:szCs w:val="24"/>
          <w:lang w:val="es-ES"/>
        </w:rPr>
        <w:t xml:space="preserve">de la espícula y la enzima conversora de angiotensina 2 humana (ACE2), el receptor </w:t>
      </w:r>
      <w:r w:rsidR="007239DF">
        <w:rPr>
          <w:rFonts w:ascii="Arial" w:hAnsi="Arial" w:cs="Arial"/>
          <w:sz w:val="24"/>
          <w:szCs w:val="24"/>
          <w:lang w:val="es-ES"/>
        </w:rPr>
        <w:t>canónico</w:t>
      </w:r>
      <w:r w:rsidR="0043469C">
        <w:rPr>
          <w:rFonts w:ascii="Arial" w:hAnsi="Arial" w:cs="Arial"/>
          <w:sz w:val="24"/>
          <w:szCs w:val="24"/>
          <w:lang w:val="es-ES"/>
        </w:rPr>
        <w:t xml:space="preserve"> en la superficie de la </w:t>
      </w:r>
      <w:r w:rsidR="007239DF">
        <w:rPr>
          <w:rFonts w:ascii="Arial" w:hAnsi="Arial" w:cs="Arial"/>
          <w:sz w:val="24"/>
          <w:szCs w:val="24"/>
          <w:lang w:val="es-ES"/>
        </w:rPr>
        <w:t>célula</w:t>
      </w:r>
      <w:r w:rsidR="0043469C">
        <w:rPr>
          <w:rFonts w:ascii="Arial" w:hAnsi="Arial" w:cs="Arial"/>
          <w:sz w:val="24"/>
          <w:szCs w:val="24"/>
          <w:lang w:val="es-ES"/>
        </w:rPr>
        <w:t xml:space="preserve"> </w:t>
      </w:r>
      <w:r w:rsidR="007239DF">
        <w:rPr>
          <w:rFonts w:ascii="Arial" w:hAnsi="Arial" w:cs="Arial"/>
          <w:sz w:val="24"/>
          <w:szCs w:val="24"/>
          <w:lang w:val="es-ES"/>
        </w:rPr>
        <w:t>anfitriona</w:t>
      </w:r>
      <w:r w:rsidR="007239DF" w:rsidRPr="0043469C">
        <w:rPr>
          <w:rFonts w:ascii="Arial" w:hAnsi="Arial" w:cs="Arial"/>
          <w:sz w:val="24"/>
          <w:szCs w:val="24"/>
          <w:vertAlign w:val="superscript"/>
          <w:lang w:val="es-ES"/>
        </w:rPr>
        <w:t>__</w:t>
      </w:r>
      <w:r w:rsidR="007239DF">
        <w:rPr>
          <w:rFonts w:ascii="Arial" w:hAnsi="Arial" w:cs="Arial"/>
          <w:sz w:val="24"/>
          <w:szCs w:val="24"/>
          <w:vertAlign w:val="superscript"/>
          <w:lang w:val="es-ES"/>
        </w:rPr>
        <w:t xml:space="preserve"> </w:t>
      </w:r>
      <w:r w:rsidR="007239DF">
        <w:rPr>
          <w:rFonts w:ascii="Arial" w:hAnsi="Arial" w:cs="Arial"/>
          <w:sz w:val="24"/>
          <w:szCs w:val="24"/>
          <w:lang w:val="es-ES"/>
        </w:rPr>
        <w:t xml:space="preserve">pueden neutralizar el virus </w:t>
      </w:r>
      <w:r w:rsidR="007239DF" w:rsidRPr="002E1F48">
        <w:rPr>
          <w:rFonts w:ascii="Arial" w:hAnsi="Arial" w:cs="Arial"/>
          <w:i/>
          <w:sz w:val="24"/>
          <w:szCs w:val="24"/>
          <w:lang w:val="es-ES"/>
        </w:rPr>
        <w:t>in vitro</w:t>
      </w:r>
      <w:r w:rsidR="007239DF">
        <w:rPr>
          <w:rFonts w:ascii="Arial" w:hAnsi="Arial" w:cs="Arial"/>
          <w:sz w:val="24"/>
          <w:szCs w:val="24"/>
          <w:lang w:val="es-ES"/>
        </w:rPr>
        <w:t xml:space="preserve"> y están asociados a la protección ante la infección </w:t>
      </w:r>
      <w:r w:rsidR="002E1F48" w:rsidRPr="002E1F48">
        <w:rPr>
          <w:rFonts w:ascii="Arial" w:hAnsi="Arial" w:cs="Arial"/>
          <w:i/>
          <w:sz w:val="24"/>
          <w:szCs w:val="24"/>
          <w:lang w:val="es-ES"/>
        </w:rPr>
        <w:t>i</w:t>
      </w:r>
      <w:r w:rsidR="007239DF" w:rsidRPr="002E1F48">
        <w:rPr>
          <w:rFonts w:ascii="Arial" w:hAnsi="Arial" w:cs="Arial"/>
          <w:i/>
          <w:sz w:val="24"/>
          <w:szCs w:val="24"/>
          <w:lang w:val="es-ES"/>
        </w:rPr>
        <w:t>n vivo</w:t>
      </w:r>
      <w:r w:rsidR="007239DF">
        <w:rPr>
          <w:rFonts w:ascii="Arial" w:hAnsi="Arial" w:cs="Arial"/>
          <w:sz w:val="24"/>
          <w:szCs w:val="24"/>
          <w:lang w:val="es-ES"/>
        </w:rPr>
        <w:t>.</w:t>
      </w:r>
      <w:r w:rsidR="007239DF" w:rsidRPr="00B26176">
        <w:rPr>
          <w:rFonts w:ascii="Arial" w:hAnsi="Arial" w:cs="Arial"/>
          <w:color w:val="548DD4" w:themeColor="text2" w:themeTint="99"/>
          <w:sz w:val="24"/>
          <w:szCs w:val="24"/>
          <w:vertAlign w:val="superscript"/>
          <w:lang w:val="es-ES"/>
        </w:rPr>
        <w:t>1</w:t>
      </w:r>
      <w:r w:rsidR="007239DF">
        <w:rPr>
          <w:rFonts w:ascii="Arial" w:hAnsi="Arial" w:cs="Arial"/>
          <w:sz w:val="24"/>
          <w:szCs w:val="24"/>
          <w:lang w:val="es-ES"/>
        </w:rPr>
        <w:t xml:space="preserve"> En la página 691 de este número</w:t>
      </w:r>
      <w:r w:rsidR="002E1F48">
        <w:rPr>
          <w:rStyle w:val="Refdenotaalpie"/>
          <w:rFonts w:ascii="Arial" w:hAnsi="Arial" w:cs="Arial"/>
          <w:sz w:val="24"/>
          <w:szCs w:val="24"/>
          <w:lang w:val="es-ES"/>
        </w:rPr>
        <w:footnoteReference w:customMarkFollows="1" w:id="1"/>
        <w:t>*</w:t>
      </w:r>
      <w:r w:rsidR="007239DF">
        <w:rPr>
          <w:rFonts w:ascii="Arial" w:hAnsi="Arial" w:cs="Arial"/>
          <w:sz w:val="24"/>
          <w:szCs w:val="24"/>
          <w:lang w:val="es-ES"/>
        </w:rPr>
        <w:t xml:space="preserve">, </w:t>
      </w:r>
      <w:proofErr w:type="spellStart"/>
      <w:r w:rsidR="007239DF">
        <w:rPr>
          <w:rFonts w:ascii="Arial" w:hAnsi="Arial" w:cs="Arial"/>
          <w:sz w:val="24"/>
          <w:szCs w:val="24"/>
          <w:lang w:val="es-ES"/>
        </w:rPr>
        <w:t>Koenig</w:t>
      </w:r>
      <w:proofErr w:type="spellEnd"/>
      <w:r w:rsidR="007239DF">
        <w:rPr>
          <w:rFonts w:ascii="Arial" w:hAnsi="Arial" w:cs="Arial"/>
          <w:sz w:val="24"/>
          <w:szCs w:val="24"/>
          <w:lang w:val="es-ES"/>
        </w:rPr>
        <w:t xml:space="preserve"> et al.</w:t>
      </w:r>
      <w:r w:rsidR="007239DF" w:rsidRPr="002E1F48">
        <w:rPr>
          <w:rFonts w:ascii="Arial" w:hAnsi="Arial" w:cs="Arial"/>
          <w:color w:val="548DD4" w:themeColor="text2" w:themeTint="99"/>
          <w:sz w:val="24"/>
          <w:szCs w:val="24"/>
          <w:vertAlign w:val="superscript"/>
          <w:lang w:val="es-ES"/>
        </w:rPr>
        <w:t>2</w:t>
      </w:r>
      <w:r w:rsidR="007239DF">
        <w:rPr>
          <w:rFonts w:ascii="Arial" w:hAnsi="Arial" w:cs="Arial"/>
          <w:sz w:val="24"/>
          <w:szCs w:val="24"/>
          <w:lang w:val="es-ES"/>
        </w:rPr>
        <w:t xml:space="preserve"> describen </w:t>
      </w:r>
      <w:r w:rsidR="00B26176">
        <w:rPr>
          <w:rFonts w:ascii="Arial" w:hAnsi="Arial" w:cs="Arial"/>
          <w:sz w:val="24"/>
          <w:szCs w:val="24"/>
          <w:lang w:val="es-ES"/>
        </w:rPr>
        <w:t xml:space="preserve">cuatro anticuerpos de dominio simple neutralizantes  del SARS-CoV-2, o VHH, y sus combinaciones </w:t>
      </w:r>
      <w:r w:rsidR="002E1F48">
        <w:rPr>
          <w:rFonts w:ascii="Arial" w:hAnsi="Arial" w:cs="Arial"/>
          <w:sz w:val="24"/>
          <w:szCs w:val="24"/>
          <w:lang w:val="es-ES"/>
        </w:rPr>
        <w:t xml:space="preserve">que pueden deshabilitar la función </w:t>
      </w:r>
      <w:r w:rsidR="00D236C9">
        <w:rPr>
          <w:rFonts w:ascii="Arial" w:hAnsi="Arial" w:cs="Arial"/>
          <w:sz w:val="24"/>
          <w:szCs w:val="24"/>
          <w:lang w:val="es-ES"/>
        </w:rPr>
        <w:t xml:space="preserve">de </w:t>
      </w:r>
      <w:r w:rsidR="002E1F48">
        <w:rPr>
          <w:rFonts w:ascii="Arial" w:hAnsi="Arial" w:cs="Arial"/>
          <w:sz w:val="24"/>
          <w:szCs w:val="24"/>
          <w:lang w:val="es-ES"/>
        </w:rPr>
        <w:t xml:space="preserve">espícula. </w:t>
      </w:r>
      <w:r w:rsidR="00D236C9">
        <w:rPr>
          <w:rFonts w:ascii="Arial" w:hAnsi="Arial" w:cs="Arial"/>
          <w:sz w:val="24"/>
          <w:szCs w:val="24"/>
          <w:lang w:val="es-ES"/>
        </w:rPr>
        <w:t xml:space="preserve">Esto extiende la lista creciente de reportes sobre los anticuerpos de dominio simple específicos a la espícula del SARS-CoV-2 que han sido propuestos como terapéutica potencial para pacientes de la covid-19. </w:t>
      </w:r>
    </w:p>
    <w:p w:rsidR="00FA3CC6" w:rsidRDefault="00AB7997" w:rsidP="00A459B5">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 xml:space="preserve">Los VHH son los dominios variables </w:t>
      </w:r>
      <w:r w:rsidR="008876F9">
        <w:rPr>
          <w:rFonts w:ascii="Arial" w:hAnsi="Arial" w:cs="Arial"/>
          <w:sz w:val="24"/>
          <w:szCs w:val="24"/>
          <w:lang w:val="es-ES"/>
        </w:rPr>
        <w:t>de los anticuerpos</w:t>
      </w:r>
      <w:r>
        <w:rPr>
          <w:rFonts w:ascii="Arial" w:hAnsi="Arial" w:cs="Arial"/>
          <w:sz w:val="24"/>
          <w:szCs w:val="24"/>
          <w:lang w:val="es-ES"/>
        </w:rPr>
        <w:t xml:space="preserve"> de cadena pesada </w:t>
      </w:r>
      <w:r w:rsidR="008876F9">
        <w:rPr>
          <w:rFonts w:ascii="Arial" w:hAnsi="Arial" w:cs="Arial"/>
          <w:sz w:val="24"/>
          <w:szCs w:val="24"/>
          <w:lang w:val="es-ES"/>
        </w:rPr>
        <w:t>única, los cuales carecen de una cadena ligera y del primer dominio constante  de la cadena pesada como ocurre en los anticuerpos convencionales. Los VHH están presentes en las especies de camélidos, como los dromedarios (camellos arábigos).</w:t>
      </w:r>
      <w:r w:rsidR="008876F9" w:rsidRPr="00DA0705">
        <w:rPr>
          <w:rFonts w:ascii="Arial" w:hAnsi="Arial" w:cs="Arial"/>
          <w:color w:val="548DD4" w:themeColor="text2" w:themeTint="99"/>
          <w:sz w:val="24"/>
          <w:szCs w:val="24"/>
          <w:vertAlign w:val="superscript"/>
          <w:lang w:val="es-ES"/>
        </w:rPr>
        <w:t>3</w:t>
      </w:r>
      <w:r w:rsidR="008876F9">
        <w:rPr>
          <w:rFonts w:ascii="Arial" w:hAnsi="Arial" w:cs="Arial"/>
          <w:sz w:val="24"/>
          <w:szCs w:val="24"/>
          <w:lang w:val="es-ES"/>
        </w:rPr>
        <w:t xml:space="preserve"> </w:t>
      </w:r>
      <w:proofErr w:type="spellStart"/>
      <w:r w:rsidR="008876F9">
        <w:rPr>
          <w:rFonts w:ascii="Arial" w:hAnsi="Arial" w:cs="Arial"/>
          <w:sz w:val="24"/>
          <w:szCs w:val="24"/>
          <w:lang w:val="es-ES"/>
        </w:rPr>
        <w:t>Koenig</w:t>
      </w:r>
      <w:proofErr w:type="spellEnd"/>
      <w:r w:rsidR="008876F9">
        <w:rPr>
          <w:rFonts w:ascii="Arial" w:hAnsi="Arial" w:cs="Arial"/>
          <w:sz w:val="24"/>
          <w:szCs w:val="24"/>
          <w:lang w:val="es-ES"/>
        </w:rPr>
        <w:t xml:space="preserve"> et al</w:t>
      </w:r>
      <w:r w:rsidR="00DA0705">
        <w:rPr>
          <w:rFonts w:ascii="Arial" w:hAnsi="Arial" w:cs="Arial"/>
          <w:sz w:val="24"/>
          <w:szCs w:val="24"/>
          <w:lang w:val="es-ES"/>
        </w:rPr>
        <w:t>.</w:t>
      </w:r>
      <w:r w:rsidR="008876F9">
        <w:rPr>
          <w:rFonts w:ascii="Arial" w:hAnsi="Arial" w:cs="Arial"/>
          <w:sz w:val="24"/>
          <w:szCs w:val="24"/>
          <w:lang w:val="es-ES"/>
        </w:rPr>
        <w:t xml:space="preserve"> </w:t>
      </w:r>
      <w:proofErr w:type="gramStart"/>
      <w:r w:rsidR="008876F9">
        <w:rPr>
          <w:rFonts w:ascii="Arial" w:hAnsi="Arial" w:cs="Arial"/>
          <w:sz w:val="24"/>
          <w:szCs w:val="24"/>
          <w:lang w:val="es-ES"/>
        </w:rPr>
        <w:t>inmunizaron</w:t>
      </w:r>
      <w:proofErr w:type="gramEnd"/>
      <w:r w:rsidR="008876F9">
        <w:rPr>
          <w:rFonts w:ascii="Arial" w:hAnsi="Arial" w:cs="Arial"/>
          <w:sz w:val="24"/>
          <w:szCs w:val="24"/>
          <w:lang w:val="es-ES"/>
        </w:rPr>
        <w:t xml:space="preserve"> una llama y una alpaca con el antígeno recombinante del dominio de unión al receptor de la espícula e inactivaron  </w:t>
      </w:r>
      <w:r w:rsidR="00DA0705">
        <w:rPr>
          <w:rFonts w:ascii="Arial" w:hAnsi="Arial" w:cs="Arial"/>
          <w:sz w:val="24"/>
          <w:szCs w:val="24"/>
          <w:lang w:val="es-ES"/>
        </w:rPr>
        <w:t xml:space="preserve">los viriones del SARS-CoV-2 para seleccionas VHH de afinidad elevada contra al espícula del SARS-CoV-2. El análisis estructural de </w:t>
      </w:r>
      <w:r w:rsidR="000F78F2">
        <w:rPr>
          <w:rFonts w:ascii="Arial" w:hAnsi="Arial" w:cs="Arial"/>
          <w:sz w:val="24"/>
          <w:szCs w:val="24"/>
          <w:lang w:val="es-ES"/>
        </w:rPr>
        <w:t>u</w:t>
      </w:r>
      <w:r w:rsidR="00DA0705">
        <w:rPr>
          <w:rFonts w:ascii="Arial" w:hAnsi="Arial" w:cs="Arial"/>
          <w:sz w:val="24"/>
          <w:szCs w:val="24"/>
          <w:lang w:val="es-ES"/>
        </w:rPr>
        <w:t>n complejo con el dominio de</w:t>
      </w:r>
      <w:r w:rsidR="00A459B5">
        <w:rPr>
          <w:rFonts w:ascii="Arial" w:hAnsi="Arial" w:cs="Arial"/>
          <w:sz w:val="24"/>
          <w:szCs w:val="24"/>
          <w:lang w:val="es-ES"/>
        </w:rPr>
        <w:t xml:space="preserve"> unión a</w:t>
      </w:r>
      <w:r w:rsidR="00DA0705">
        <w:rPr>
          <w:rFonts w:ascii="Arial" w:hAnsi="Arial" w:cs="Arial"/>
          <w:sz w:val="24"/>
          <w:szCs w:val="24"/>
          <w:lang w:val="es-ES"/>
        </w:rPr>
        <w:t xml:space="preserve">l receptor </w:t>
      </w:r>
      <w:r w:rsidR="00A459B5">
        <w:rPr>
          <w:rFonts w:ascii="Arial" w:hAnsi="Arial" w:cs="Arial"/>
          <w:sz w:val="24"/>
          <w:szCs w:val="24"/>
          <w:lang w:val="es-ES"/>
        </w:rPr>
        <w:t>o espícula estabilizada pre-fusión  revel</w:t>
      </w:r>
      <w:r w:rsidR="000F78F2">
        <w:rPr>
          <w:rFonts w:ascii="Arial" w:hAnsi="Arial" w:cs="Arial"/>
          <w:sz w:val="24"/>
          <w:szCs w:val="24"/>
          <w:lang w:val="es-ES"/>
        </w:rPr>
        <w:t>ó</w:t>
      </w:r>
      <w:r w:rsidR="00A459B5">
        <w:rPr>
          <w:rFonts w:ascii="Arial" w:hAnsi="Arial" w:cs="Arial"/>
          <w:sz w:val="24"/>
          <w:szCs w:val="24"/>
          <w:lang w:val="es-ES"/>
        </w:rPr>
        <w:t xml:space="preserve"> sus epítopes, explic</w:t>
      </w:r>
      <w:r w:rsidR="000F78F2">
        <w:rPr>
          <w:rFonts w:ascii="Arial" w:hAnsi="Arial" w:cs="Arial"/>
          <w:sz w:val="24"/>
          <w:szCs w:val="24"/>
          <w:lang w:val="es-ES"/>
        </w:rPr>
        <w:t>ó</w:t>
      </w:r>
      <w:r w:rsidR="00A459B5">
        <w:rPr>
          <w:rFonts w:ascii="Arial" w:hAnsi="Arial" w:cs="Arial"/>
          <w:sz w:val="24"/>
          <w:szCs w:val="24"/>
          <w:lang w:val="es-ES"/>
        </w:rPr>
        <w:t xml:space="preserve"> su capacidad para obstaculizar la unión  de la enzima </w:t>
      </w:r>
      <w:r w:rsidR="00A459B5">
        <w:rPr>
          <w:rFonts w:ascii="Arial" w:hAnsi="Arial" w:cs="Arial"/>
          <w:sz w:val="24"/>
          <w:szCs w:val="24"/>
          <w:lang w:val="es-ES"/>
        </w:rPr>
        <w:lastRenderedPageBreak/>
        <w:t>conversora de la angiotensina 2, y mostr</w:t>
      </w:r>
      <w:r w:rsidR="002C6034">
        <w:rPr>
          <w:rFonts w:ascii="Arial" w:hAnsi="Arial" w:cs="Arial"/>
          <w:sz w:val="24"/>
          <w:szCs w:val="24"/>
          <w:lang w:val="es-ES"/>
        </w:rPr>
        <w:t>ó</w:t>
      </w:r>
      <w:r w:rsidR="00A459B5">
        <w:rPr>
          <w:rFonts w:ascii="Arial" w:hAnsi="Arial" w:cs="Arial"/>
          <w:sz w:val="24"/>
          <w:szCs w:val="24"/>
          <w:lang w:val="es-ES"/>
        </w:rPr>
        <w:t xml:space="preserve"> que dos</w:t>
      </w:r>
      <w:r w:rsidR="002C6034">
        <w:rPr>
          <w:rFonts w:ascii="Arial" w:hAnsi="Arial" w:cs="Arial"/>
          <w:sz w:val="24"/>
          <w:szCs w:val="24"/>
          <w:lang w:val="es-ES"/>
        </w:rPr>
        <w:t xml:space="preserve"> de sus VHH capturaron </w:t>
      </w:r>
      <w:r w:rsidR="00A459B5">
        <w:rPr>
          <w:rFonts w:ascii="Arial" w:hAnsi="Arial" w:cs="Arial"/>
          <w:sz w:val="24"/>
          <w:szCs w:val="24"/>
          <w:lang w:val="es-ES"/>
        </w:rPr>
        <w:t xml:space="preserve"> espículas en su “denominada</w:t>
      </w:r>
      <w:r w:rsidR="002C6034">
        <w:rPr>
          <w:rFonts w:ascii="Arial" w:hAnsi="Arial" w:cs="Arial"/>
          <w:sz w:val="24"/>
          <w:szCs w:val="24"/>
          <w:lang w:val="es-ES"/>
        </w:rPr>
        <w:t>”</w:t>
      </w:r>
      <w:r w:rsidR="00A459B5">
        <w:rPr>
          <w:rFonts w:ascii="Arial" w:hAnsi="Arial" w:cs="Arial"/>
          <w:sz w:val="24"/>
          <w:szCs w:val="24"/>
          <w:lang w:val="es-ES"/>
        </w:rPr>
        <w:t xml:space="preserve"> </w:t>
      </w:r>
      <w:r w:rsidR="002C6034">
        <w:rPr>
          <w:rFonts w:ascii="Arial" w:hAnsi="Arial" w:cs="Arial"/>
          <w:sz w:val="24"/>
          <w:szCs w:val="24"/>
          <w:lang w:val="es-ES"/>
        </w:rPr>
        <w:t>conformación, en la cual el dominio de unión al receptor es volteado hacia arriba, lo que es esencial para que el virus engarce con la enzima conversora de la angiotensina 2</w:t>
      </w:r>
      <w:r w:rsidR="00A459B5">
        <w:rPr>
          <w:rFonts w:ascii="Arial" w:hAnsi="Arial" w:cs="Arial"/>
          <w:sz w:val="24"/>
          <w:szCs w:val="24"/>
          <w:lang w:val="es-ES"/>
        </w:rPr>
        <w:t>.</w:t>
      </w:r>
      <w:r w:rsidR="002C6034">
        <w:rPr>
          <w:rFonts w:ascii="Arial" w:hAnsi="Arial" w:cs="Arial"/>
          <w:sz w:val="24"/>
          <w:szCs w:val="24"/>
          <w:lang w:val="es-ES"/>
        </w:rPr>
        <w:t xml:space="preserve"> El estado cerrado es la forma predominante de espícula en el virión.</w:t>
      </w:r>
      <w:r w:rsidR="002C6034" w:rsidRPr="002C6034">
        <w:rPr>
          <w:rFonts w:ascii="Arial" w:hAnsi="Arial" w:cs="Arial"/>
          <w:color w:val="548DD4" w:themeColor="text2" w:themeTint="99"/>
          <w:sz w:val="24"/>
          <w:szCs w:val="24"/>
          <w:vertAlign w:val="superscript"/>
          <w:lang w:val="es-ES"/>
        </w:rPr>
        <w:t>4</w:t>
      </w:r>
      <w:r w:rsidR="002C6034">
        <w:rPr>
          <w:rFonts w:ascii="Arial" w:hAnsi="Arial" w:cs="Arial"/>
          <w:sz w:val="24"/>
          <w:szCs w:val="24"/>
          <w:lang w:val="es-ES"/>
        </w:rPr>
        <w:t xml:space="preserve"> La unión de la enzima conversora de la angiotensina 2 combinada con la activación proteolítica de la espícula dispara la fusión de la membrana.  </w:t>
      </w:r>
      <w:r w:rsidR="00FA3CC6">
        <w:rPr>
          <w:rFonts w:ascii="Arial" w:hAnsi="Arial" w:cs="Arial"/>
          <w:sz w:val="24"/>
          <w:szCs w:val="24"/>
          <w:lang w:val="es-ES"/>
        </w:rPr>
        <w:t>Los autores proponen que algunos de sus VHH</w:t>
      </w:r>
      <w:r w:rsidR="000F78F2">
        <w:rPr>
          <w:rFonts w:ascii="Arial" w:hAnsi="Arial" w:cs="Arial"/>
          <w:sz w:val="24"/>
          <w:szCs w:val="24"/>
          <w:lang w:val="es-ES"/>
        </w:rPr>
        <w:t xml:space="preserve"> </w:t>
      </w:r>
      <w:r w:rsidR="00FA3CC6" w:rsidRPr="00FA3CC6">
        <w:rPr>
          <w:rFonts w:ascii="Arial" w:hAnsi="Arial" w:cs="Arial"/>
          <w:sz w:val="24"/>
          <w:szCs w:val="24"/>
          <w:vertAlign w:val="superscript"/>
          <w:lang w:val="es-ES"/>
        </w:rPr>
        <w:t>__</w:t>
      </w:r>
      <w:r w:rsidR="00FA3CC6">
        <w:rPr>
          <w:rFonts w:ascii="Arial" w:hAnsi="Arial" w:cs="Arial"/>
          <w:sz w:val="24"/>
          <w:szCs w:val="24"/>
          <w:lang w:val="es-ES"/>
        </w:rPr>
        <w:t>incluyendo los biparatópicos que unen dos epítopes diferentes no superpuestos sobre la espícula</w:t>
      </w:r>
      <w:r w:rsidR="00FA3CC6" w:rsidRPr="00FA3CC6">
        <w:rPr>
          <w:rFonts w:ascii="Arial" w:hAnsi="Arial" w:cs="Arial"/>
          <w:sz w:val="24"/>
          <w:szCs w:val="24"/>
          <w:vertAlign w:val="superscript"/>
          <w:lang w:val="es-ES"/>
        </w:rPr>
        <w:t>__</w:t>
      </w:r>
      <w:r w:rsidR="00FA3CC6">
        <w:rPr>
          <w:rFonts w:ascii="Arial" w:hAnsi="Arial" w:cs="Arial"/>
          <w:sz w:val="24"/>
          <w:szCs w:val="24"/>
          <w:lang w:val="es-ES"/>
        </w:rPr>
        <w:t xml:space="preserve"> pueden desestabilizar la conformación pre</w:t>
      </w:r>
      <w:r w:rsidR="000F78F2">
        <w:rPr>
          <w:rFonts w:ascii="Arial" w:hAnsi="Arial" w:cs="Arial"/>
          <w:sz w:val="24"/>
          <w:szCs w:val="24"/>
          <w:lang w:val="es-ES"/>
        </w:rPr>
        <w:t>-</w:t>
      </w:r>
      <w:r w:rsidR="00FA3CC6">
        <w:rPr>
          <w:rFonts w:ascii="Arial" w:hAnsi="Arial" w:cs="Arial"/>
          <w:sz w:val="24"/>
          <w:szCs w:val="24"/>
          <w:lang w:val="es-ES"/>
        </w:rPr>
        <w:t xml:space="preserve">fusión de la proteína espícula y, por tanto, inactivar el mecanismo de fusión del virus. </w:t>
      </w:r>
    </w:p>
    <w:p w:rsidR="000766D7" w:rsidRDefault="00320C54" w:rsidP="00A459B5">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O</w:t>
      </w:r>
      <w:r w:rsidR="00FA3CC6">
        <w:rPr>
          <w:rFonts w:ascii="Arial" w:hAnsi="Arial" w:cs="Arial"/>
          <w:sz w:val="24"/>
          <w:szCs w:val="24"/>
          <w:lang w:val="es-ES"/>
        </w:rPr>
        <w:t xml:space="preserve">tros </w:t>
      </w:r>
      <w:r>
        <w:rPr>
          <w:rFonts w:ascii="Arial" w:hAnsi="Arial" w:cs="Arial"/>
          <w:sz w:val="24"/>
          <w:szCs w:val="24"/>
          <w:lang w:val="es-ES"/>
        </w:rPr>
        <w:t xml:space="preserve">muchos </w:t>
      </w:r>
      <w:bookmarkStart w:id="0" w:name="_GoBack"/>
      <w:bookmarkEnd w:id="0"/>
      <w:r w:rsidR="00FA3CC6">
        <w:rPr>
          <w:rFonts w:ascii="Arial" w:hAnsi="Arial" w:cs="Arial"/>
          <w:sz w:val="24"/>
          <w:szCs w:val="24"/>
          <w:lang w:val="es-ES"/>
        </w:rPr>
        <w:t xml:space="preserve">estudios </w:t>
      </w:r>
      <w:r w:rsidR="00621038">
        <w:rPr>
          <w:rFonts w:ascii="Arial" w:hAnsi="Arial" w:cs="Arial"/>
          <w:sz w:val="24"/>
          <w:szCs w:val="24"/>
          <w:lang w:val="es-ES"/>
        </w:rPr>
        <w:t xml:space="preserve">han generado anticuerpos de dominio simple contra la espícula: </w:t>
      </w:r>
      <w:r w:rsidR="00766733">
        <w:rPr>
          <w:rFonts w:ascii="Arial" w:hAnsi="Arial" w:cs="Arial"/>
          <w:sz w:val="24"/>
          <w:szCs w:val="24"/>
          <w:lang w:val="es-ES"/>
        </w:rPr>
        <w:t>alg</w:t>
      </w:r>
      <w:r w:rsidR="00621038">
        <w:rPr>
          <w:rFonts w:ascii="Arial" w:hAnsi="Arial" w:cs="Arial"/>
          <w:sz w:val="24"/>
          <w:szCs w:val="24"/>
          <w:lang w:val="es-ES"/>
        </w:rPr>
        <w:t xml:space="preserve">unos también comenzaron con una llama o alpaca inmunizada, </w:t>
      </w:r>
      <w:r w:rsidR="00621038" w:rsidRPr="00621038">
        <w:rPr>
          <w:rFonts w:ascii="Arial" w:hAnsi="Arial" w:cs="Arial"/>
          <w:color w:val="548DD4" w:themeColor="text2" w:themeTint="99"/>
          <w:sz w:val="24"/>
          <w:szCs w:val="24"/>
          <w:vertAlign w:val="superscript"/>
          <w:lang w:val="es-ES"/>
        </w:rPr>
        <w:t>5-8</w:t>
      </w:r>
      <w:r w:rsidR="00621038">
        <w:rPr>
          <w:rFonts w:ascii="Arial" w:hAnsi="Arial" w:cs="Arial"/>
          <w:sz w:val="24"/>
          <w:szCs w:val="24"/>
          <w:lang w:val="es-ES"/>
        </w:rPr>
        <w:t xml:space="preserve"> mientras otros obtuvieron anticuerpos </w:t>
      </w:r>
      <w:r w:rsidR="00766733">
        <w:rPr>
          <w:rFonts w:ascii="Arial" w:hAnsi="Arial" w:cs="Arial"/>
          <w:sz w:val="24"/>
          <w:szCs w:val="24"/>
          <w:lang w:val="es-ES"/>
        </w:rPr>
        <w:t xml:space="preserve">neutralizantes </w:t>
      </w:r>
      <w:r w:rsidR="00621038">
        <w:rPr>
          <w:rFonts w:ascii="Arial" w:hAnsi="Arial" w:cs="Arial"/>
          <w:sz w:val="24"/>
          <w:szCs w:val="24"/>
          <w:lang w:val="es-ES"/>
        </w:rPr>
        <w:t>de dominio simple de bibliotecas sintéticas.</w:t>
      </w:r>
      <w:r w:rsidR="00621038" w:rsidRPr="00621038">
        <w:rPr>
          <w:rFonts w:ascii="Arial" w:hAnsi="Arial" w:cs="Arial"/>
          <w:color w:val="548DD4" w:themeColor="text2" w:themeTint="99"/>
          <w:sz w:val="24"/>
          <w:szCs w:val="24"/>
          <w:vertAlign w:val="superscript"/>
          <w:lang w:val="es-ES"/>
        </w:rPr>
        <w:t>9-12</w:t>
      </w:r>
      <w:r w:rsidR="00621038" w:rsidRPr="00621038">
        <w:rPr>
          <w:rFonts w:ascii="Arial" w:hAnsi="Arial" w:cs="Arial"/>
          <w:color w:val="548DD4" w:themeColor="text2" w:themeTint="99"/>
          <w:sz w:val="24"/>
          <w:szCs w:val="24"/>
          <w:lang w:val="es-ES"/>
        </w:rPr>
        <w:t xml:space="preserve"> </w:t>
      </w:r>
      <w:r w:rsidR="00621038">
        <w:rPr>
          <w:rFonts w:ascii="Arial" w:hAnsi="Arial" w:cs="Arial"/>
          <w:sz w:val="24"/>
          <w:szCs w:val="24"/>
          <w:lang w:val="es-ES"/>
        </w:rPr>
        <w:t>El VHH72 neutraliza de forma cruzada al SARS-CoV</w:t>
      </w:r>
      <w:r w:rsidR="000766D7">
        <w:rPr>
          <w:rFonts w:ascii="Arial" w:hAnsi="Arial" w:cs="Arial"/>
          <w:sz w:val="24"/>
          <w:szCs w:val="24"/>
          <w:lang w:val="es-ES"/>
        </w:rPr>
        <w:t>, un betacoronavirus que caus</w:t>
      </w:r>
      <w:r w:rsidR="00766733">
        <w:rPr>
          <w:rFonts w:ascii="Arial" w:hAnsi="Arial" w:cs="Arial"/>
          <w:sz w:val="24"/>
          <w:szCs w:val="24"/>
          <w:lang w:val="es-ES"/>
        </w:rPr>
        <w:t>ó</w:t>
      </w:r>
      <w:r w:rsidR="000766D7">
        <w:rPr>
          <w:rFonts w:ascii="Arial" w:hAnsi="Arial" w:cs="Arial"/>
          <w:sz w:val="24"/>
          <w:szCs w:val="24"/>
          <w:lang w:val="es-ES"/>
        </w:rPr>
        <w:t xml:space="preserve"> el brote de  SARS en 2002-2003, y el SARS-CoV-2 mediante la unión a un epítope altamente conservado en el dominio de unión al receptor de la espícula de estos virus.</w:t>
      </w:r>
      <w:r w:rsidR="000766D7" w:rsidRPr="00766733">
        <w:rPr>
          <w:rFonts w:ascii="Arial" w:hAnsi="Arial" w:cs="Arial"/>
          <w:color w:val="548DD4" w:themeColor="text2" w:themeTint="99"/>
          <w:sz w:val="24"/>
          <w:szCs w:val="24"/>
          <w:vertAlign w:val="superscript"/>
          <w:lang w:val="es-ES"/>
        </w:rPr>
        <w:t>8</w:t>
      </w:r>
    </w:p>
    <w:p w:rsidR="00A459B5" w:rsidRDefault="000766D7" w:rsidP="00A459B5">
      <w:pPr>
        <w:autoSpaceDE w:val="0"/>
        <w:autoSpaceDN w:val="0"/>
        <w:adjustRightInd w:val="0"/>
        <w:spacing w:after="0" w:line="360" w:lineRule="auto"/>
        <w:jc w:val="both"/>
        <w:rPr>
          <w:rFonts w:ascii="Arial" w:hAnsi="Arial" w:cs="Arial"/>
          <w:sz w:val="24"/>
          <w:szCs w:val="24"/>
          <w:lang w:val="es-ES"/>
        </w:rPr>
      </w:pPr>
      <w:r w:rsidRPr="000766D7">
        <w:rPr>
          <w:rFonts w:ascii="Arial" w:hAnsi="Arial" w:cs="Arial"/>
          <w:sz w:val="24"/>
          <w:szCs w:val="24"/>
          <w:lang w:val="es-ES"/>
        </w:rPr>
        <w:t xml:space="preserve">El VHH72 se fundió al dominio </w:t>
      </w:r>
      <w:proofErr w:type="spellStart"/>
      <w:r w:rsidRPr="000766D7">
        <w:rPr>
          <w:rFonts w:ascii="Arial" w:hAnsi="Arial" w:cs="Arial"/>
          <w:sz w:val="24"/>
          <w:szCs w:val="24"/>
          <w:lang w:val="es-ES"/>
        </w:rPr>
        <w:t>Fc</w:t>
      </w:r>
      <w:proofErr w:type="spellEnd"/>
      <w:r w:rsidRPr="000766D7">
        <w:rPr>
          <w:rFonts w:ascii="Arial" w:hAnsi="Arial" w:cs="Arial"/>
          <w:sz w:val="24"/>
          <w:szCs w:val="24"/>
          <w:lang w:val="es-ES"/>
        </w:rPr>
        <w:t xml:space="preserve"> de la inmunoglobulina humana G1 (IgG1)</w:t>
      </w:r>
      <w:r>
        <w:rPr>
          <w:rFonts w:ascii="Arial" w:hAnsi="Arial" w:cs="Arial"/>
          <w:sz w:val="24"/>
          <w:szCs w:val="24"/>
          <w:lang w:val="es-ES"/>
        </w:rPr>
        <w:t xml:space="preserve">, que </w:t>
      </w:r>
      <w:r w:rsidR="00C61036">
        <w:rPr>
          <w:rFonts w:ascii="Arial" w:hAnsi="Arial" w:cs="Arial"/>
          <w:sz w:val="24"/>
          <w:szCs w:val="24"/>
          <w:lang w:val="es-ES"/>
        </w:rPr>
        <w:t>concede</w:t>
      </w:r>
      <w:r>
        <w:rPr>
          <w:rFonts w:ascii="Arial" w:hAnsi="Arial" w:cs="Arial"/>
          <w:sz w:val="24"/>
          <w:szCs w:val="24"/>
          <w:lang w:val="es-ES"/>
        </w:rPr>
        <w:t xml:space="preserve"> </w:t>
      </w:r>
      <w:r w:rsidRPr="000766D7">
        <w:rPr>
          <w:rFonts w:ascii="Arial" w:hAnsi="Arial" w:cs="Arial"/>
          <w:sz w:val="24"/>
          <w:szCs w:val="24"/>
          <w:lang w:val="es-ES"/>
        </w:rPr>
        <w:t xml:space="preserve"> </w:t>
      </w:r>
      <w:r>
        <w:rPr>
          <w:rFonts w:ascii="Arial" w:hAnsi="Arial" w:cs="Arial"/>
          <w:sz w:val="24"/>
          <w:szCs w:val="24"/>
          <w:lang w:val="es-ES"/>
        </w:rPr>
        <w:t xml:space="preserve">una larga media vida circulatoria tipo </w:t>
      </w:r>
      <w:proofErr w:type="spellStart"/>
      <w:r>
        <w:rPr>
          <w:rFonts w:ascii="Arial" w:hAnsi="Arial" w:cs="Arial"/>
          <w:sz w:val="24"/>
          <w:szCs w:val="24"/>
          <w:lang w:val="es-ES"/>
        </w:rPr>
        <w:t>IgG</w:t>
      </w:r>
      <w:proofErr w:type="spellEnd"/>
      <w:r>
        <w:rPr>
          <w:rFonts w:ascii="Arial" w:hAnsi="Arial" w:cs="Arial"/>
          <w:sz w:val="24"/>
          <w:szCs w:val="24"/>
          <w:lang w:val="es-ES"/>
        </w:rPr>
        <w:t xml:space="preserve">, amplía la potencia  haciendo bivalente el anticuerpo, </w:t>
      </w:r>
      <w:r w:rsidR="00C61036">
        <w:rPr>
          <w:rFonts w:ascii="Arial" w:hAnsi="Arial" w:cs="Arial"/>
          <w:sz w:val="24"/>
          <w:szCs w:val="24"/>
          <w:lang w:val="es-ES"/>
        </w:rPr>
        <w:t>y permite seleccionar la función del efector</w:t>
      </w:r>
      <w:r w:rsidR="00766733">
        <w:rPr>
          <w:rFonts w:ascii="Arial" w:hAnsi="Arial" w:cs="Arial"/>
          <w:sz w:val="24"/>
          <w:szCs w:val="24"/>
          <w:lang w:val="es-ES"/>
        </w:rPr>
        <w:t xml:space="preserve"> para</w:t>
      </w:r>
      <w:r w:rsidR="00C61036">
        <w:rPr>
          <w:rFonts w:ascii="Arial" w:hAnsi="Arial" w:cs="Arial"/>
          <w:sz w:val="24"/>
          <w:szCs w:val="24"/>
          <w:lang w:val="es-ES"/>
        </w:rPr>
        <w:t xml:space="preserve">, por ejemplo, </w:t>
      </w:r>
      <w:r w:rsidR="00766733">
        <w:rPr>
          <w:rFonts w:ascii="Arial" w:hAnsi="Arial" w:cs="Arial"/>
          <w:sz w:val="24"/>
          <w:szCs w:val="24"/>
          <w:lang w:val="es-ES"/>
        </w:rPr>
        <w:t xml:space="preserve">reducir o promover la unión a los efectores </w:t>
      </w:r>
      <w:proofErr w:type="spellStart"/>
      <w:r w:rsidR="00766733">
        <w:rPr>
          <w:rFonts w:ascii="Arial" w:hAnsi="Arial" w:cs="Arial"/>
          <w:sz w:val="24"/>
          <w:szCs w:val="24"/>
          <w:lang w:val="es-ES"/>
        </w:rPr>
        <w:t>Fc</w:t>
      </w:r>
      <w:proofErr w:type="spellEnd"/>
      <w:r w:rsidR="00766733">
        <w:rPr>
          <w:rFonts w:ascii="Arial" w:hAnsi="Arial" w:cs="Arial"/>
          <w:sz w:val="24"/>
          <w:szCs w:val="24"/>
          <w:lang w:val="es-ES"/>
        </w:rPr>
        <w:t xml:space="preserve"> expresados por diferentes células inmunes.</w:t>
      </w:r>
      <w:r w:rsidR="00FF5469">
        <w:rPr>
          <w:rFonts w:ascii="Arial" w:hAnsi="Arial" w:cs="Arial"/>
          <w:sz w:val="24"/>
          <w:szCs w:val="24"/>
          <w:lang w:val="es-ES"/>
        </w:rPr>
        <w:t xml:space="preserve"> Un derivado </w:t>
      </w:r>
      <w:r w:rsidR="00855C50">
        <w:rPr>
          <w:rFonts w:ascii="Arial" w:hAnsi="Arial" w:cs="Arial"/>
          <w:sz w:val="24"/>
          <w:szCs w:val="24"/>
          <w:lang w:val="es-ES"/>
        </w:rPr>
        <w:t xml:space="preserve">de diseño </w:t>
      </w:r>
      <w:r w:rsidR="00FF5469">
        <w:rPr>
          <w:rFonts w:ascii="Arial" w:hAnsi="Arial" w:cs="Arial"/>
          <w:sz w:val="24"/>
          <w:szCs w:val="24"/>
          <w:lang w:val="es-ES"/>
        </w:rPr>
        <w:t>del VHH72</w:t>
      </w:r>
      <w:r w:rsidR="00855C50">
        <w:rPr>
          <w:rFonts w:ascii="Arial" w:hAnsi="Arial" w:cs="Arial"/>
          <w:sz w:val="24"/>
          <w:szCs w:val="24"/>
          <w:lang w:val="es-ES"/>
        </w:rPr>
        <w:t xml:space="preserve"> de potencia más ampliada está entrando ahora a ensayos clínicos para tratar a los pacientes de covid-19.  </w:t>
      </w:r>
    </w:p>
    <w:p w:rsidR="007E0694" w:rsidRPr="007E0694" w:rsidRDefault="00855C50" w:rsidP="007E0694">
      <w:pPr>
        <w:autoSpaceDE w:val="0"/>
        <w:autoSpaceDN w:val="0"/>
        <w:adjustRightInd w:val="0"/>
        <w:spacing w:after="0" w:line="360" w:lineRule="auto"/>
        <w:jc w:val="both"/>
        <w:rPr>
          <w:rFonts w:ascii="Arial" w:hAnsi="Arial" w:cs="Arial"/>
          <w:sz w:val="24"/>
          <w:szCs w:val="24"/>
          <w:lang w:val="es-ES"/>
        </w:rPr>
      </w:pPr>
      <w:r w:rsidRPr="00855C50">
        <w:rPr>
          <w:rFonts w:ascii="Arial" w:hAnsi="Arial" w:cs="Arial"/>
          <w:sz w:val="24"/>
          <w:szCs w:val="24"/>
          <w:lang w:val="es-ES"/>
        </w:rPr>
        <w:t xml:space="preserve">Otra vía de </w:t>
      </w:r>
      <w:r>
        <w:rPr>
          <w:rFonts w:ascii="Arial" w:hAnsi="Arial" w:cs="Arial"/>
          <w:sz w:val="24"/>
          <w:szCs w:val="24"/>
          <w:lang w:val="es-ES"/>
        </w:rPr>
        <w:t xml:space="preserve">incrementar la valencia de los VHH, lo que aumenta la fortaleza de la unión a sus blancos, es </w:t>
      </w:r>
      <w:r w:rsidR="006D176D">
        <w:rPr>
          <w:rFonts w:ascii="Arial" w:hAnsi="Arial" w:cs="Arial"/>
          <w:sz w:val="24"/>
          <w:szCs w:val="24"/>
          <w:lang w:val="es-ES"/>
        </w:rPr>
        <w:t>colocarlos en proteínas de fusión conjunta repetida</w:t>
      </w:r>
      <w:r w:rsidR="00851B07">
        <w:rPr>
          <w:rFonts w:ascii="Arial" w:hAnsi="Arial" w:cs="Arial"/>
          <w:sz w:val="24"/>
          <w:szCs w:val="24"/>
          <w:lang w:val="es-ES"/>
        </w:rPr>
        <w:t xml:space="preserve">. Esto se ejemplifica </w:t>
      </w:r>
      <w:r w:rsidR="00BF65C7">
        <w:rPr>
          <w:rFonts w:ascii="Arial" w:hAnsi="Arial" w:cs="Arial"/>
          <w:sz w:val="24"/>
          <w:szCs w:val="24"/>
          <w:lang w:val="es-ES"/>
        </w:rPr>
        <w:t>por una construcción VHH homotrimérica</w:t>
      </w:r>
      <w:r w:rsidR="00BF65C7" w:rsidRPr="002C58FC">
        <w:rPr>
          <w:rFonts w:ascii="Arial" w:hAnsi="Arial" w:cs="Arial"/>
          <w:color w:val="4F81BD" w:themeColor="accent1"/>
          <w:sz w:val="24"/>
          <w:szCs w:val="24"/>
          <w:vertAlign w:val="superscript"/>
          <w:lang w:val="es-ES"/>
        </w:rPr>
        <w:t>5</w:t>
      </w:r>
      <w:r w:rsidR="00BF65C7">
        <w:rPr>
          <w:rFonts w:ascii="Arial" w:hAnsi="Arial" w:cs="Arial"/>
          <w:sz w:val="24"/>
          <w:szCs w:val="24"/>
          <w:lang w:val="es-ES"/>
        </w:rPr>
        <w:t xml:space="preserve"> que, con una concentración inhibitoria media (IC</w:t>
      </w:r>
      <w:r w:rsidR="00BF65C7" w:rsidRPr="00BF65C7">
        <w:rPr>
          <w:rFonts w:ascii="Arial" w:hAnsi="Arial" w:cs="Arial"/>
          <w:sz w:val="24"/>
          <w:szCs w:val="24"/>
          <w:vertAlign w:val="subscript"/>
          <w:lang w:val="es-ES"/>
        </w:rPr>
        <w:t>50</w:t>
      </w:r>
      <w:r w:rsidR="00BF65C7">
        <w:rPr>
          <w:rFonts w:ascii="Arial" w:hAnsi="Arial" w:cs="Arial"/>
          <w:sz w:val="24"/>
          <w:szCs w:val="24"/>
          <w:lang w:val="es-ES"/>
        </w:rPr>
        <w:t xml:space="preserve">) de 5,4 </w:t>
      </w:r>
      <w:proofErr w:type="spellStart"/>
      <w:r w:rsidR="00BF65C7">
        <w:rPr>
          <w:rFonts w:ascii="Arial" w:hAnsi="Arial" w:cs="Arial"/>
          <w:sz w:val="24"/>
          <w:szCs w:val="24"/>
          <w:lang w:val="es-ES"/>
        </w:rPr>
        <w:t>pM</w:t>
      </w:r>
      <w:proofErr w:type="spellEnd"/>
      <w:r w:rsidR="00BF65C7">
        <w:rPr>
          <w:rFonts w:ascii="Arial" w:hAnsi="Arial" w:cs="Arial"/>
          <w:sz w:val="24"/>
          <w:szCs w:val="24"/>
          <w:lang w:val="es-ES"/>
        </w:rPr>
        <w:t>, es una de las construcciones VHH</w:t>
      </w:r>
      <w:r w:rsidR="002C58FC">
        <w:rPr>
          <w:rFonts w:ascii="Arial" w:hAnsi="Arial" w:cs="Arial"/>
          <w:sz w:val="24"/>
          <w:szCs w:val="24"/>
          <w:lang w:val="es-ES"/>
        </w:rPr>
        <w:t xml:space="preserve"> neutralizadoras del SARS-CoV-2 más potentes reportadas hasta la fecha. Otra construcción VHH que neutraliza potentemente se derivó de un</w:t>
      </w:r>
      <w:r w:rsidR="000F78F2">
        <w:rPr>
          <w:rFonts w:ascii="Arial" w:hAnsi="Arial" w:cs="Arial"/>
          <w:sz w:val="24"/>
          <w:szCs w:val="24"/>
          <w:lang w:val="es-ES"/>
        </w:rPr>
        <w:t>a</w:t>
      </w:r>
      <w:r w:rsidR="002C58FC">
        <w:rPr>
          <w:rFonts w:ascii="Arial" w:hAnsi="Arial" w:cs="Arial"/>
          <w:sz w:val="24"/>
          <w:szCs w:val="24"/>
          <w:lang w:val="es-ES"/>
        </w:rPr>
        <w:t xml:space="preserve"> </w:t>
      </w:r>
      <w:r w:rsidR="000F78F2">
        <w:rPr>
          <w:rFonts w:ascii="Arial" w:hAnsi="Arial" w:cs="Arial"/>
          <w:sz w:val="24"/>
          <w:szCs w:val="24"/>
          <w:lang w:val="es-ES"/>
        </w:rPr>
        <w:t>biblioteca o archivo</w:t>
      </w:r>
      <w:r w:rsidR="002C58FC">
        <w:rPr>
          <w:rFonts w:ascii="Arial" w:hAnsi="Arial" w:cs="Arial"/>
          <w:sz w:val="24"/>
          <w:szCs w:val="24"/>
          <w:lang w:val="es-ES"/>
        </w:rPr>
        <w:t xml:space="preserve"> de VHH</w:t>
      </w:r>
      <w:r w:rsidR="001B699E">
        <w:rPr>
          <w:rFonts w:ascii="Arial" w:hAnsi="Arial" w:cs="Arial"/>
          <w:sz w:val="24"/>
          <w:szCs w:val="24"/>
          <w:lang w:val="es-ES"/>
        </w:rPr>
        <w:t xml:space="preserve"> sintéticos expuestos por levadura, </w:t>
      </w:r>
      <w:r w:rsidR="00CE33E3">
        <w:rPr>
          <w:rFonts w:ascii="Arial" w:hAnsi="Arial" w:cs="Arial"/>
          <w:sz w:val="24"/>
          <w:szCs w:val="24"/>
          <w:lang w:val="es-ES"/>
        </w:rPr>
        <w:t xml:space="preserve">que se </w:t>
      </w:r>
      <w:r w:rsidR="007E0694">
        <w:rPr>
          <w:rFonts w:ascii="Arial" w:hAnsi="Arial" w:cs="Arial"/>
          <w:sz w:val="24"/>
          <w:szCs w:val="24"/>
          <w:lang w:val="es-ES"/>
        </w:rPr>
        <w:t>estudió</w:t>
      </w:r>
      <w:r w:rsidR="00CE33E3">
        <w:rPr>
          <w:rFonts w:ascii="Arial" w:hAnsi="Arial" w:cs="Arial"/>
          <w:sz w:val="24"/>
          <w:szCs w:val="24"/>
          <w:lang w:val="es-ES"/>
        </w:rPr>
        <w:t xml:space="preserve"> para </w:t>
      </w:r>
      <w:r w:rsidR="000A4A42">
        <w:rPr>
          <w:rFonts w:ascii="Arial" w:hAnsi="Arial" w:cs="Arial"/>
          <w:sz w:val="24"/>
          <w:szCs w:val="24"/>
          <w:lang w:val="es-ES"/>
        </w:rPr>
        <w:t>aglutinante</w:t>
      </w:r>
      <w:r w:rsidR="00CE33E3">
        <w:rPr>
          <w:rFonts w:ascii="Arial" w:hAnsi="Arial" w:cs="Arial"/>
          <w:sz w:val="24"/>
          <w:szCs w:val="24"/>
          <w:lang w:val="es-ES"/>
        </w:rPr>
        <w:t xml:space="preserve"> </w:t>
      </w:r>
      <w:r w:rsidR="00123DBF">
        <w:rPr>
          <w:rFonts w:ascii="Arial" w:hAnsi="Arial" w:cs="Arial"/>
          <w:sz w:val="24"/>
          <w:szCs w:val="24"/>
          <w:lang w:val="es-ES"/>
        </w:rPr>
        <w:t xml:space="preserve">de </w:t>
      </w:r>
      <w:r w:rsidR="00CE33E3">
        <w:rPr>
          <w:rFonts w:ascii="Arial" w:hAnsi="Arial" w:cs="Arial"/>
          <w:sz w:val="24"/>
          <w:szCs w:val="24"/>
          <w:lang w:val="es-ES"/>
        </w:rPr>
        <w:t>espículas del SARS-CoV-2, estabilizadas pre fusión.</w:t>
      </w:r>
      <w:r w:rsidR="00CE33E3" w:rsidRPr="00CE33E3">
        <w:rPr>
          <w:rFonts w:ascii="Arial" w:hAnsi="Arial" w:cs="Arial"/>
          <w:color w:val="4F81BD" w:themeColor="accent1"/>
          <w:sz w:val="24"/>
          <w:szCs w:val="24"/>
          <w:vertAlign w:val="superscript"/>
          <w:lang w:val="es-ES"/>
        </w:rPr>
        <w:t>9</w:t>
      </w:r>
      <w:r w:rsidR="00CE33E3">
        <w:rPr>
          <w:rFonts w:ascii="Arial" w:hAnsi="Arial" w:cs="Arial"/>
          <w:sz w:val="24"/>
          <w:szCs w:val="24"/>
          <w:lang w:val="es-ES"/>
        </w:rPr>
        <w:t xml:space="preserve">  Uno de los éxitos de </w:t>
      </w:r>
      <w:r w:rsidR="00331F36">
        <w:rPr>
          <w:rFonts w:ascii="Arial" w:hAnsi="Arial" w:cs="Arial"/>
          <w:sz w:val="24"/>
          <w:szCs w:val="24"/>
          <w:lang w:val="es-ES"/>
        </w:rPr>
        <w:t>est</w:t>
      </w:r>
      <w:r w:rsidR="007E0694">
        <w:rPr>
          <w:rFonts w:ascii="Arial" w:hAnsi="Arial" w:cs="Arial"/>
          <w:sz w:val="24"/>
          <w:szCs w:val="24"/>
          <w:lang w:val="es-ES"/>
        </w:rPr>
        <w:t>e</w:t>
      </w:r>
      <w:r w:rsidR="00331F36">
        <w:rPr>
          <w:rFonts w:ascii="Arial" w:hAnsi="Arial" w:cs="Arial"/>
          <w:sz w:val="24"/>
          <w:szCs w:val="24"/>
          <w:lang w:val="es-ES"/>
        </w:rPr>
        <w:t xml:space="preserve"> </w:t>
      </w:r>
      <w:r w:rsidR="007E0694">
        <w:rPr>
          <w:rFonts w:ascii="Arial" w:hAnsi="Arial" w:cs="Arial"/>
          <w:sz w:val="24"/>
          <w:szCs w:val="24"/>
          <w:lang w:val="es-ES"/>
        </w:rPr>
        <w:t>estudio</w:t>
      </w:r>
      <w:r w:rsidR="00331F36">
        <w:rPr>
          <w:rFonts w:ascii="Arial" w:hAnsi="Arial" w:cs="Arial"/>
          <w:sz w:val="24"/>
          <w:szCs w:val="24"/>
          <w:lang w:val="es-ES"/>
        </w:rPr>
        <w:t xml:space="preserve">  </w:t>
      </w:r>
      <w:r w:rsidR="00123DBF">
        <w:rPr>
          <w:rFonts w:ascii="Arial" w:hAnsi="Arial" w:cs="Arial"/>
          <w:sz w:val="24"/>
          <w:szCs w:val="24"/>
          <w:lang w:val="es-ES"/>
        </w:rPr>
        <w:t xml:space="preserve">fue una afinidad adicional madurada por un método de mutagénesis saturante y convertida eventualmente  en </w:t>
      </w:r>
      <w:r w:rsidR="00123DBF">
        <w:rPr>
          <w:rFonts w:ascii="Arial" w:hAnsi="Arial" w:cs="Arial"/>
          <w:sz w:val="24"/>
          <w:szCs w:val="24"/>
          <w:lang w:val="es-ES"/>
        </w:rPr>
        <w:lastRenderedPageBreak/>
        <w:t>una construcción de fusión homotrimérica que neutraliza el SARS-CoV-2 in vitro con IC</w:t>
      </w:r>
      <w:r w:rsidR="00123DBF" w:rsidRPr="00123DBF">
        <w:rPr>
          <w:rFonts w:ascii="Arial" w:hAnsi="Arial" w:cs="Arial"/>
          <w:sz w:val="24"/>
          <w:szCs w:val="24"/>
          <w:vertAlign w:val="subscript"/>
          <w:lang w:val="es-ES"/>
        </w:rPr>
        <w:t>50</w:t>
      </w:r>
      <w:r w:rsidR="00123DBF">
        <w:rPr>
          <w:rFonts w:ascii="Arial" w:hAnsi="Arial" w:cs="Arial"/>
          <w:sz w:val="24"/>
          <w:szCs w:val="24"/>
          <w:lang w:val="es-ES"/>
        </w:rPr>
        <w:t xml:space="preserve"> de 56 </w:t>
      </w:r>
      <w:proofErr w:type="spellStart"/>
      <w:r w:rsidR="00123DBF">
        <w:rPr>
          <w:rFonts w:ascii="Arial" w:hAnsi="Arial" w:cs="Arial"/>
          <w:sz w:val="24"/>
          <w:szCs w:val="24"/>
          <w:lang w:val="es-ES"/>
        </w:rPr>
        <w:t>pM</w:t>
      </w:r>
      <w:proofErr w:type="spellEnd"/>
      <w:r w:rsidR="00123DBF">
        <w:rPr>
          <w:rFonts w:ascii="Arial" w:hAnsi="Arial" w:cs="Arial"/>
          <w:sz w:val="24"/>
          <w:szCs w:val="24"/>
          <w:lang w:val="es-ES"/>
        </w:rPr>
        <w:t xml:space="preserve">. </w:t>
      </w:r>
      <w:r w:rsidR="007E0694">
        <w:rPr>
          <w:rFonts w:ascii="Arial" w:hAnsi="Arial" w:cs="Arial"/>
          <w:sz w:val="24"/>
          <w:szCs w:val="24"/>
          <w:lang w:val="es-ES"/>
        </w:rPr>
        <w:t xml:space="preserve">Sin embargo, esa construcción VHH trimérica será propensa a tener medias vidas circulatorias limitadas porque su tamaño limitado aun permitiría la eliminación renal y con mucha probabilidad  requerirá </w:t>
      </w:r>
      <w:r w:rsidR="007E0694" w:rsidRPr="007E0694">
        <w:rPr>
          <w:rFonts w:ascii="Arial" w:hAnsi="Arial" w:cs="Arial"/>
          <w:sz w:val="24"/>
          <w:szCs w:val="24"/>
          <w:lang w:val="es-ES"/>
        </w:rPr>
        <w:t xml:space="preserve">administración sistémica repetida </w:t>
      </w:r>
      <w:r w:rsidR="007E0694">
        <w:rPr>
          <w:rFonts w:ascii="Arial" w:hAnsi="Arial" w:cs="Arial"/>
          <w:sz w:val="24"/>
          <w:szCs w:val="24"/>
          <w:lang w:val="es-ES"/>
        </w:rPr>
        <w:t xml:space="preserve">para mantener la concentración inhibitoria del virus. </w:t>
      </w:r>
    </w:p>
    <w:p w:rsidR="00A459B5" w:rsidRDefault="007E0694" w:rsidP="00A459B5">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 xml:space="preserve">Aunque la humanización de los VHH es ahora una práctica regular para reducir la inmunogenicidad, </w:t>
      </w:r>
      <w:r w:rsidR="00251D83">
        <w:rPr>
          <w:rFonts w:ascii="Arial" w:hAnsi="Arial" w:cs="Arial"/>
          <w:sz w:val="24"/>
          <w:szCs w:val="24"/>
          <w:lang w:val="es-ES"/>
        </w:rPr>
        <w:t xml:space="preserve">comenzar con una biblioteca </w:t>
      </w:r>
      <w:r w:rsidR="00A936A6">
        <w:rPr>
          <w:rFonts w:ascii="Arial" w:hAnsi="Arial" w:cs="Arial"/>
          <w:sz w:val="24"/>
          <w:szCs w:val="24"/>
          <w:lang w:val="es-ES"/>
        </w:rPr>
        <w:t>de dominio variable (V</w:t>
      </w:r>
      <w:r w:rsidR="00A936A6" w:rsidRPr="00A936A6">
        <w:rPr>
          <w:rFonts w:ascii="Arial" w:hAnsi="Arial" w:cs="Arial"/>
          <w:sz w:val="24"/>
          <w:szCs w:val="24"/>
          <w:vertAlign w:val="subscript"/>
          <w:lang w:val="es-ES"/>
        </w:rPr>
        <w:t>H</w:t>
      </w:r>
      <w:r w:rsidR="00A936A6">
        <w:rPr>
          <w:rFonts w:ascii="Arial" w:hAnsi="Arial" w:cs="Arial"/>
          <w:sz w:val="24"/>
          <w:szCs w:val="24"/>
          <w:lang w:val="es-ES"/>
        </w:rPr>
        <w:t xml:space="preserve">) de cadena pesada de IgG1 humano fago-expresado sintético es </w:t>
      </w:r>
      <w:r w:rsidR="00251D83">
        <w:rPr>
          <w:rFonts w:ascii="Arial" w:hAnsi="Arial" w:cs="Arial"/>
          <w:sz w:val="24"/>
          <w:szCs w:val="24"/>
          <w:lang w:val="es-ES"/>
        </w:rPr>
        <w:t>una alternativa</w:t>
      </w:r>
      <w:r w:rsidR="00A936A6">
        <w:rPr>
          <w:rFonts w:ascii="Arial" w:hAnsi="Arial" w:cs="Arial"/>
          <w:sz w:val="24"/>
          <w:szCs w:val="24"/>
          <w:lang w:val="es-ES"/>
        </w:rPr>
        <w:t xml:space="preserve">, lo que ha conducido también al aislamiento de una unión </w:t>
      </w:r>
      <w:r w:rsidR="00CF17F1">
        <w:rPr>
          <w:rFonts w:ascii="Arial" w:hAnsi="Arial" w:cs="Arial"/>
          <w:sz w:val="24"/>
          <w:szCs w:val="24"/>
          <w:lang w:val="es-ES"/>
        </w:rPr>
        <w:t xml:space="preserve">específica del </w:t>
      </w:r>
      <w:r w:rsidR="00251D83">
        <w:rPr>
          <w:rFonts w:ascii="Arial" w:hAnsi="Arial" w:cs="Arial"/>
          <w:sz w:val="24"/>
          <w:szCs w:val="24"/>
          <w:lang w:val="es-ES"/>
        </w:rPr>
        <w:t xml:space="preserve"> </w:t>
      </w:r>
      <w:r>
        <w:rPr>
          <w:rFonts w:ascii="Arial" w:hAnsi="Arial" w:cs="Arial"/>
          <w:sz w:val="24"/>
          <w:szCs w:val="24"/>
          <w:lang w:val="es-ES"/>
        </w:rPr>
        <w:t xml:space="preserve"> </w:t>
      </w:r>
      <w:r w:rsidR="00CF17F1" w:rsidRPr="00390360">
        <w:rPr>
          <w:rFonts w:ascii="Arial" w:hAnsi="Arial" w:cs="Arial"/>
          <w:sz w:val="24"/>
          <w:szCs w:val="24"/>
          <w:lang w:val="es-ES"/>
        </w:rPr>
        <w:t>dominio de unión al receptor</w:t>
      </w:r>
      <w:r w:rsidR="00CF17F1">
        <w:rPr>
          <w:rFonts w:ascii="Arial" w:hAnsi="Arial" w:cs="Arial"/>
          <w:sz w:val="24"/>
          <w:szCs w:val="24"/>
          <w:lang w:val="es-ES"/>
        </w:rPr>
        <w:t xml:space="preserve"> de espícula del SARS-CoV-2.</w:t>
      </w:r>
      <w:r w:rsidR="00CF17F1" w:rsidRPr="00CF17F1">
        <w:rPr>
          <w:rFonts w:ascii="Arial" w:hAnsi="Arial" w:cs="Arial"/>
          <w:color w:val="4F81BD" w:themeColor="accent1"/>
          <w:sz w:val="24"/>
          <w:szCs w:val="24"/>
          <w:vertAlign w:val="superscript"/>
          <w:lang w:val="es-ES"/>
        </w:rPr>
        <w:t>10</w:t>
      </w:r>
      <w:r w:rsidR="00CF17F1">
        <w:rPr>
          <w:rFonts w:ascii="Arial" w:hAnsi="Arial" w:cs="Arial"/>
          <w:sz w:val="24"/>
          <w:szCs w:val="24"/>
          <w:lang w:val="es-ES"/>
        </w:rPr>
        <w:t xml:space="preserve"> Cuando se fusion</w:t>
      </w:r>
      <w:r w:rsidR="00372126">
        <w:rPr>
          <w:rFonts w:ascii="Arial" w:hAnsi="Arial" w:cs="Arial"/>
          <w:sz w:val="24"/>
          <w:szCs w:val="24"/>
          <w:lang w:val="es-ES"/>
        </w:rPr>
        <w:t>ó</w:t>
      </w:r>
      <w:r w:rsidR="00CF17F1">
        <w:rPr>
          <w:rFonts w:ascii="Arial" w:hAnsi="Arial" w:cs="Arial"/>
          <w:sz w:val="24"/>
          <w:szCs w:val="24"/>
          <w:lang w:val="es-ES"/>
        </w:rPr>
        <w:t xml:space="preserve"> al dominio </w:t>
      </w:r>
      <w:proofErr w:type="spellStart"/>
      <w:r w:rsidR="00CF17F1">
        <w:rPr>
          <w:rFonts w:ascii="Arial" w:hAnsi="Arial" w:cs="Arial"/>
          <w:sz w:val="24"/>
          <w:szCs w:val="24"/>
          <w:lang w:val="es-ES"/>
        </w:rPr>
        <w:t>Fc</w:t>
      </w:r>
      <w:proofErr w:type="spellEnd"/>
      <w:r w:rsidR="00CF17F1">
        <w:rPr>
          <w:rFonts w:ascii="Arial" w:hAnsi="Arial" w:cs="Arial"/>
          <w:sz w:val="24"/>
          <w:szCs w:val="24"/>
          <w:lang w:val="es-ES"/>
        </w:rPr>
        <w:t xml:space="preserve"> del IgG1 humano, este V</w:t>
      </w:r>
      <w:r w:rsidR="00CF17F1" w:rsidRPr="00A936A6">
        <w:rPr>
          <w:rFonts w:ascii="Arial" w:hAnsi="Arial" w:cs="Arial"/>
          <w:sz w:val="24"/>
          <w:szCs w:val="24"/>
          <w:vertAlign w:val="subscript"/>
          <w:lang w:val="es-ES"/>
        </w:rPr>
        <w:t>H</w:t>
      </w:r>
      <w:r w:rsidR="00CF17F1" w:rsidRPr="00CF17F1">
        <w:rPr>
          <w:rFonts w:ascii="Arial" w:hAnsi="Arial" w:cs="Arial"/>
          <w:sz w:val="24"/>
          <w:szCs w:val="24"/>
          <w:lang w:val="es-ES"/>
        </w:rPr>
        <w:t>-</w:t>
      </w:r>
      <w:proofErr w:type="spellStart"/>
      <w:r w:rsidR="00CF17F1" w:rsidRPr="00CF17F1">
        <w:rPr>
          <w:rFonts w:ascii="Arial" w:hAnsi="Arial" w:cs="Arial"/>
          <w:sz w:val="24"/>
          <w:szCs w:val="24"/>
          <w:lang w:val="es-ES"/>
        </w:rPr>
        <w:t>Fc</w:t>
      </w:r>
      <w:proofErr w:type="spellEnd"/>
      <w:r w:rsidR="00CF17F1" w:rsidRPr="00CF17F1">
        <w:rPr>
          <w:rFonts w:ascii="Arial" w:hAnsi="Arial" w:cs="Arial"/>
          <w:sz w:val="24"/>
          <w:szCs w:val="24"/>
          <w:lang w:val="es-ES"/>
        </w:rPr>
        <w:t xml:space="preserve"> neutraliz</w:t>
      </w:r>
      <w:r w:rsidR="00372126">
        <w:rPr>
          <w:rFonts w:ascii="Arial" w:hAnsi="Arial" w:cs="Arial"/>
          <w:sz w:val="24"/>
          <w:szCs w:val="24"/>
          <w:lang w:val="es-ES"/>
        </w:rPr>
        <w:t>ó</w:t>
      </w:r>
      <w:r w:rsidR="00CF17F1" w:rsidRPr="00CF17F1">
        <w:rPr>
          <w:rFonts w:ascii="Arial" w:hAnsi="Arial" w:cs="Arial"/>
          <w:sz w:val="24"/>
          <w:szCs w:val="24"/>
          <w:lang w:val="es-ES"/>
        </w:rPr>
        <w:t xml:space="preserve"> al SARS-</w:t>
      </w:r>
      <w:r w:rsidR="00CF17F1">
        <w:rPr>
          <w:rFonts w:ascii="Arial" w:hAnsi="Arial" w:cs="Arial"/>
          <w:sz w:val="24"/>
          <w:szCs w:val="24"/>
          <w:lang w:val="es-ES"/>
        </w:rPr>
        <w:t>C</w:t>
      </w:r>
      <w:r w:rsidR="00CF17F1" w:rsidRPr="00CF17F1">
        <w:rPr>
          <w:rFonts w:ascii="Arial" w:hAnsi="Arial" w:cs="Arial"/>
          <w:sz w:val="24"/>
          <w:szCs w:val="24"/>
          <w:lang w:val="es-ES"/>
        </w:rPr>
        <w:t>o</w:t>
      </w:r>
      <w:r w:rsidR="00CF17F1">
        <w:rPr>
          <w:rFonts w:ascii="Arial" w:hAnsi="Arial" w:cs="Arial"/>
          <w:sz w:val="24"/>
          <w:szCs w:val="24"/>
          <w:lang w:val="es-ES"/>
        </w:rPr>
        <w:t xml:space="preserve">V-2 </w:t>
      </w:r>
      <w:r w:rsidR="00CF17F1" w:rsidRPr="00CF17F1">
        <w:rPr>
          <w:rFonts w:ascii="Arial" w:hAnsi="Arial" w:cs="Arial"/>
          <w:i/>
          <w:sz w:val="24"/>
          <w:szCs w:val="24"/>
          <w:lang w:val="es-ES"/>
        </w:rPr>
        <w:t>in vitro</w:t>
      </w:r>
      <w:r w:rsidR="00CF17F1">
        <w:rPr>
          <w:rFonts w:ascii="Arial" w:hAnsi="Arial" w:cs="Arial"/>
          <w:sz w:val="24"/>
          <w:szCs w:val="24"/>
          <w:lang w:val="es-ES"/>
        </w:rPr>
        <w:t xml:space="preserve"> con un</w:t>
      </w:r>
      <w:r w:rsidR="00481E31">
        <w:rPr>
          <w:rFonts w:ascii="Arial" w:hAnsi="Arial" w:cs="Arial"/>
          <w:sz w:val="24"/>
          <w:szCs w:val="24"/>
          <w:lang w:val="es-ES"/>
        </w:rPr>
        <w:t>a</w:t>
      </w:r>
      <w:r w:rsidR="00CF17F1">
        <w:rPr>
          <w:rFonts w:ascii="Arial" w:hAnsi="Arial" w:cs="Arial"/>
          <w:sz w:val="24"/>
          <w:szCs w:val="24"/>
          <w:lang w:val="es-ES"/>
        </w:rPr>
        <w:t xml:space="preserve"> IC</w:t>
      </w:r>
      <w:r w:rsidR="00CF17F1" w:rsidRPr="00CF17F1">
        <w:rPr>
          <w:rFonts w:ascii="Arial" w:hAnsi="Arial" w:cs="Arial"/>
          <w:sz w:val="24"/>
          <w:szCs w:val="24"/>
          <w:vertAlign w:val="subscript"/>
          <w:lang w:val="es-ES"/>
        </w:rPr>
        <w:t>50</w:t>
      </w:r>
      <w:r w:rsidR="00CF17F1">
        <w:rPr>
          <w:rFonts w:ascii="Arial" w:hAnsi="Arial" w:cs="Arial"/>
          <w:sz w:val="24"/>
          <w:szCs w:val="24"/>
          <w:lang w:val="es-ES"/>
        </w:rPr>
        <w:t xml:space="preserve"> de 390 </w:t>
      </w:r>
      <w:proofErr w:type="spellStart"/>
      <w:r w:rsidR="00CF17F1">
        <w:rPr>
          <w:rFonts w:ascii="Arial" w:hAnsi="Arial" w:cs="Arial"/>
          <w:sz w:val="24"/>
          <w:szCs w:val="24"/>
          <w:lang w:val="es-ES"/>
        </w:rPr>
        <w:t>pM</w:t>
      </w:r>
      <w:proofErr w:type="spellEnd"/>
      <w:r w:rsidR="00CF17F1">
        <w:rPr>
          <w:rFonts w:ascii="Arial" w:hAnsi="Arial" w:cs="Arial"/>
          <w:sz w:val="24"/>
          <w:szCs w:val="24"/>
          <w:lang w:val="es-ES"/>
        </w:rPr>
        <w:t xml:space="preserve">. </w:t>
      </w:r>
      <w:r w:rsidR="00CF17F1" w:rsidRPr="00372126">
        <w:rPr>
          <w:rFonts w:ascii="Arial" w:hAnsi="Arial" w:cs="Arial"/>
          <w:sz w:val="24"/>
          <w:szCs w:val="24"/>
          <w:lang w:val="es-ES"/>
        </w:rPr>
        <w:t>De manera notable, el  V</w:t>
      </w:r>
      <w:r w:rsidR="00CF17F1" w:rsidRPr="00372126">
        <w:rPr>
          <w:rFonts w:ascii="Arial" w:hAnsi="Arial" w:cs="Arial"/>
          <w:sz w:val="24"/>
          <w:szCs w:val="24"/>
          <w:vertAlign w:val="subscript"/>
          <w:lang w:val="es-ES"/>
        </w:rPr>
        <w:t>H</w:t>
      </w:r>
      <w:r w:rsidR="00CF17F1" w:rsidRPr="00372126">
        <w:rPr>
          <w:rFonts w:ascii="Arial" w:hAnsi="Arial" w:cs="Arial"/>
          <w:sz w:val="24"/>
          <w:szCs w:val="24"/>
          <w:lang w:val="es-ES"/>
        </w:rPr>
        <w:t>-</w:t>
      </w:r>
      <w:proofErr w:type="spellStart"/>
      <w:r w:rsidR="00CF17F1" w:rsidRPr="00372126">
        <w:rPr>
          <w:rFonts w:ascii="Arial" w:hAnsi="Arial" w:cs="Arial"/>
          <w:sz w:val="24"/>
          <w:szCs w:val="24"/>
          <w:lang w:val="es-ES"/>
        </w:rPr>
        <w:t>Fc</w:t>
      </w:r>
      <w:proofErr w:type="spellEnd"/>
      <w:r w:rsidR="00CF17F1" w:rsidRPr="00372126">
        <w:rPr>
          <w:rFonts w:ascii="Arial" w:hAnsi="Arial" w:cs="Arial"/>
          <w:sz w:val="24"/>
          <w:szCs w:val="24"/>
          <w:lang w:val="es-ES"/>
        </w:rPr>
        <w:t xml:space="preserve"> est</w:t>
      </w:r>
      <w:r w:rsidR="00372126" w:rsidRPr="00372126">
        <w:rPr>
          <w:rFonts w:ascii="Arial" w:hAnsi="Arial" w:cs="Arial"/>
          <w:sz w:val="24"/>
          <w:szCs w:val="24"/>
          <w:lang w:val="es-ES"/>
        </w:rPr>
        <w:t>uvo</w:t>
      </w:r>
      <w:r w:rsidR="00CF17F1" w:rsidRPr="00372126">
        <w:rPr>
          <w:rFonts w:ascii="Arial" w:hAnsi="Arial" w:cs="Arial"/>
          <w:sz w:val="24"/>
          <w:szCs w:val="24"/>
          <w:lang w:val="es-ES"/>
        </w:rPr>
        <w:t xml:space="preserve"> estable</w:t>
      </w:r>
      <w:r w:rsidR="00372126" w:rsidRPr="00372126">
        <w:rPr>
          <w:rFonts w:ascii="Arial" w:hAnsi="Arial" w:cs="Arial"/>
          <w:sz w:val="24"/>
          <w:szCs w:val="24"/>
          <w:lang w:val="es-ES"/>
        </w:rPr>
        <w:t>, no agreg</w:t>
      </w:r>
      <w:r w:rsidR="00372126">
        <w:rPr>
          <w:rFonts w:ascii="Arial" w:hAnsi="Arial" w:cs="Arial"/>
          <w:sz w:val="24"/>
          <w:szCs w:val="24"/>
          <w:lang w:val="es-ES"/>
        </w:rPr>
        <w:t>ó</w:t>
      </w:r>
      <w:r w:rsidR="00372126" w:rsidRPr="00372126">
        <w:rPr>
          <w:rFonts w:ascii="Arial" w:hAnsi="Arial" w:cs="Arial"/>
          <w:sz w:val="24"/>
          <w:szCs w:val="24"/>
          <w:lang w:val="es-ES"/>
        </w:rPr>
        <w:t xml:space="preserve"> tras un almacenamiento prolongado a 37 </w:t>
      </w:r>
      <w:r w:rsidR="00372126" w:rsidRPr="00372126">
        <w:rPr>
          <w:rFonts w:ascii="Arial" w:hAnsi="Arial" w:cs="Arial"/>
          <w:sz w:val="24"/>
          <w:szCs w:val="24"/>
          <w:vertAlign w:val="superscript"/>
          <w:lang w:val="es-ES"/>
        </w:rPr>
        <w:t>0</w:t>
      </w:r>
      <w:r w:rsidR="00372126" w:rsidRPr="00372126">
        <w:rPr>
          <w:rFonts w:ascii="Arial" w:hAnsi="Arial" w:cs="Arial"/>
          <w:sz w:val="24"/>
          <w:szCs w:val="24"/>
          <w:lang w:val="es-ES"/>
        </w:rPr>
        <w:t>C</w:t>
      </w:r>
      <w:r w:rsidR="00372126">
        <w:rPr>
          <w:rFonts w:ascii="Arial" w:hAnsi="Arial" w:cs="Arial"/>
          <w:sz w:val="24"/>
          <w:szCs w:val="24"/>
          <w:lang w:val="es-ES"/>
        </w:rPr>
        <w:t xml:space="preserve">, y no fue polireactivo, lo que son atributos claves para pasar un candidato biológico al desarrollo clínico siguiente. </w:t>
      </w:r>
      <w:r w:rsidR="00372126" w:rsidRPr="00372126">
        <w:rPr>
          <w:rFonts w:ascii="Arial" w:hAnsi="Arial" w:cs="Arial"/>
          <w:sz w:val="24"/>
          <w:szCs w:val="24"/>
          <w:lang w:val="es-ES"/>
        </w:rPr>
        <w:t>Es más, este V</w:t>
      </w:r>
      <w:r w:rsidR="00372126" w:rsidRPr="00372126">
        <w:rPr>
          <w:rFonts w:ascii="Arial" w:hAnsi="Arial" w:cs="Arial"/>
          <w:sz w:val="24"/>
          <w:szCs w:val="24"/>
          <w:vertAlign w:val="subscript"/>
          <w:lang w:val="es-ES"/>
        </w:rPr>
        <w:t>H</w:t>
      </w:r>
      <w:r w:rsidR="00372126" w:rsidRPr="00372126">
        <w:rPr>
          <w:rFonts w:ascii="Arial" w:hAnsi="Arial" w:cs="Arial"/>
          <w:sz w:val="24"/>
          <w:szCs w:val="24"/>
          <w:lang w:val="es-ES"/>
        </w:rPr>
        <w:t>-</w:t>
      </w:r>
      <w:proofErr w:type="spellStart"/>
      <w:r w:rsidR="00372126" w:rsidRPr="00372126">
        <w:rPr>
          <w:rFonts w:ascii="Arial" w:hAnsi="Arial" w:cs="Arial"/>
          <w:sz w:val="24"/>
          <w:szCs w:val="24"/>
          <w:lang w:val="es-ES"/>
        </w:rPr>
        <w:t>Fc</w:t>
      </w:r>
      <w:proofErr w:type="spellEnd"/>
      <w:r w:rsidR="00372126" w:rsidRPr="00372126">
        <w:rPr>
          <w:rFonts w:ascii="Arial" w:hAnsi="Arial" w:cs="Arial"/>
          <w:sz w:val="24"/>
          <w:szCs w:val="24"/>
          <w:lang w:val="es-ES"/>
        </w:rPr>
        <w:t xml:space="preserve"> protegió a ratones y hámsteres de la infección del SARS-CoV-2.</w:t>
      </w:r>
      <w:r w:rsidR="00372126" w:rsidRPr="00372126">
        <w:rPr>
          <w:rFonts w:ascii="Arial" w:hAnsi="Arial" w:cs="Arial"/>
          <w:color w:val="4F81BD" w:themeColor="accent1"/>
          <w:sz w:val="24"/>
          <w:szCs w:val="24"/>
          <w:vertAlign w:val="superscript"/>
          <w:lang w:val="es-ES"/>
        </w:rPr>
        <w:t>10</w:t>
      </w:r>
      <w:r w:rsidR="00372126" w:rsidRPr="00372126">
        <w:rPr>
          <w:rFonts w:ascii="Arial" w:hAnsi="Arial" w:cs="Arial"/>
          <w:sz w:val="24"/>
          <w:szCs w:val="24"/>
          <w:lang w:val="es-ES"/>
        </w:rPr>
        <w:t xml:space="preserve">  </w:t>
      </w:r>
      <w:r w:rsidR="00CF17F1" w:rsidRPr="00372126">
        <w:rPr>
          <w:rFonts w:ascii="Arial" w:hAnsi="Arial" w:cs="Arial"/>
          <w:sz w:val="24"/>
          <w:szCs w:val="24"/>
          <w:lang w:val="es-ES"/>
        </w:rPr>
        <w:t xml:space="preserve"> </w:t>
      </w:r>
    </w:p>
    <w:p w:rsidR="00DF30D6" w:rsidRDefault="00372126" w:rsidP="00F43B6D">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 xml:space="preserve">Los ensayos clínicos utilizando anticuerpos monoclonales neutralizantes dirigidos a la </w:t>
      </w:r>
      <w:r w:rsidR="00FB1793">
        <w:rPr>
          <w:rFonts w:ascii="Arial" w:hAnsi="Arial" w:cs="Arial"/>
          <w:sz w:val="24"/>
          <w:szCs w:val="24"/>
          <w:lang w:val="es-ES"/>
        </w:rPr>
        <w:t>espícula</w:t>
      </w:r>
      <w:r>
        <w:rPr>
          <w:rFonts w:ascii="Arial" w:hAnsi="Arial" w:cs="Arial"/>
          <w:sz w:val="24"/>
          <w:szCs w:val="24"/>
          <w:lang w:val="es-ES"/>
        </w:rPr>
        <w:t xml:space="preserve"> del SARS-CoV-2</w:t>
      </w:r>
      <w:r w:rsidR="001A216C">
        <w:rPr>
          <w:rFonts w:ascii="Arial" w:hAnsi="Arial" w:cs="Arial"/>
          <w:sz w:val="24"/>
          <w:szCs w:val="24"/>
          <w:lang w:val="es-ES"/>
        </w:rPr>
        <w:t>, administrados de manera intravenosa,</w:t>
      </w:r>
      <w:r>
        <w:rPr>
          <w:rFonts w:ascii="Arial" w:hAnsi="Arial" w:cs="Arial"/>
          <w:sz w:val="24"/>
          <w:szCs w:val="24"/>
          <w:lang w:val="es-ES"/>
        </w:rPr>
        <w:t xml:space="preserve"> </w:t>
      </w:r>
      <w:r w:rsidR="00FB1793">
        <w:rPr>
          <w:rFonts w:ascii="Arial" w:hAnsi="Arial" w:cs="Arial"/>
          <w:sz w:val="24"/>
          <w:szCs w:val="24"/>
          <w:lang w:val="es-ES"/>
        </w:rPr>
        <w:t>indican beneficio en pacientes externos</w:t>
      </w:r>
      <w:r w:rsidR="001A216C">
        <w:rPr>
          <w:rFonts w:ascii="Arial" w:hAnsi="Arial" w:cs="Arial"/>
          <w:sz w:val="24"/>
          <w:szCs w:val="24"/>
          <w:lang w:val="es-ES"/>
        </w:rPr>
        <w:t xml:space="preserve"> (una declinación más rápida de la carga viral y un riesgo  más bajo de desarrollar la enfermedad grave), y en </w:t>
      </w:r>
      <w:r w:rsidR="00D71C32">
        <w:rPr>
          <w:rFonts w:ascii="Arial" w:hAnsi="Arial" w:cs="Arial"/>
          <w:sz w:val="24"/>
          <w:szCs w:val="24"/>
          <w:lang w:val="es-ES"/>
        </w:rPr>
        <w:t xml:space="preserve">pacientes </w:t>
      </w:r>
      <w:r w:rsidR="001A216C">
        <w:rPr>
          <w:rFonts w:ascii="Arial" w:hAnsi="Arial" w:cs="Arial"/>
          <w:sz w:val="24"/>
          <w:szCs w:val="24"/>
          <w:lang w:val="es-ES"/>
        </w:rPr>
        <w:t xml:space="preserve">con bajos títulos de anticuerpos </w:t>
      </w:r>
      <w:r w:rsidR="00D71C32">
        <w:rPr>
          <w:rFonts w:ascii="Arial" w:hAnsi="Arial" w:cs="Arial"/>
          <w:sz w:val="24"/>
          <w:szCs w:val="24"/>
          <w:lang w:val="es-ES"/>
        </w:rPr>
        <w:t xml:space="preserve">y altas cargas virales al inicio del tratamiento. </w:t>
      </w:r>
      <w:r w:rsidR="00D71C32" w:rsidRPr="00D71C32">
        <w:rPr>
          <w:rFonts w:ascii="Arial" w:hAnsi="Arial" w:cs="Arial"/>
          <w:color w:val="4F81BD" w:themeColor="accent1"/>
          <w:sz w:val="24"/>
          <w:szCs w:val="24"/>
          <w:vertAlign w:val="superscript"/>
          <w:lang w:val="es-ES"/>
        </w:rPr>
        <w:t>13, 14</w:t>
      </w:r>
      <w:r w:rsidR="00D71C32" w:rsidRPr="00D71C32">
        <w:rPr>
          <w:rFonts w:ascii="Arial" w:hAnsi="Arial" w:cs="Arial"/>
          <w:color w:val="4F81BD" w:themeColor="accent1"/>
          <w:sz w:val="24"/>
          <w:szCs w:val="24"/>
          <w:lang w:val="es-ES"/>
        </w:rPr>
        <w:t xml:space="preserve"> </w:t>
      </w:r>
      <w:r w:rsidR="001A216C" w:rsidRPr="00D71C32">
        <w:rPr>
          <w:rFonts w:ascii="Arial" w:hAnsi="Arial" w:cs="Arial"/>
          <w:color w:val="4F81BD" w:themeColor="accent1"/>
          <w:sz w:val="24"/>
          <w:szCs w:val="24"/>
          <w:lang w:val="es-ES"/>
        </w:rPr>
        <w:t xml:space="preserve"> </w:t>
      </w:r>
      <w:r w:rsidR="00D71C32">
        <w:rPr>
          <w:rFonts w:ascii="Arial" w:hAnsi="Arial" w:cs="Arial"/>
          <w:sz w:val="24"/>
          <w:szCs w:val="24"/>
          <w:lang w:val="es-ES"/>
        </w:rPr>
        <w:t>¿Cómo podrían contribuir los productos biológicos basados en los VHH al control de la covid-19? La región de</w:t>
      </w:r>
      <w:r w:rsidR="009E6BE4">
        <w:rPr>
          <w:rFonts w:ascii="Arial" w:hAnsi="Arial" w:cs="Arial"/>
          <w:sz w:val="24"/>
          <w:szCs w:val="24"/>
          <w:lang w:val="es-ES"/>
        </w:rPr>
        <w:t xml:space="preserve">l </w:t>
      </w:r>
      <w:r w:rsidR="009E6BE4" w:rsidRPr="00390360">
        <w:rPr>
          <w:rFonts w:ascii="Arial" w:hAnsi="Arial" w:cs="Arial"/>
          <w:sz w:val="24"/>
          <w:szCs w:val="24"/>
          <w:lang w:val="es-ES"/>
        </w:rPr>
        <w:t>dominio de unión al receptor</w:t>
      </w:r>
      <w:r w:rsidR="009E6BE4">
        <w:rPr>
          <w:rFonts w:ascii="Arial" w:hAnsi="Arial" w:cs="Arial"/>
          <w:sz w:val="24"/>
          <w:szCs w:val="24"/>
          <w:lang w:val="es-ES"/>
        </w:rPr>
        <w:t xml:space="preserve"> de la espícula que interactúa con  la enzima conversora de la angiotensina 2 es un punto caliente para neutralizar anticuerpos humanos, de ahí que se espera que puedan surgir variantes del SARS-CoV-2 con mutaciones en esta región del </w:t>
      </w:r>
      <w:r w:rsidR="009E6BE4" w:rsidRPr="00390360">
        <w:rPr>
          <w:rFonts w:ascii="Arial" w:hAnsi="Arial" w:cs="Arial"/>
          <w:sz w:val="24"/>
          <w:szCs w:val="24"/>
          <w:lang w:val="es-ES"/>
        </w:rPr>
        <w:t>dominio de unión al receptor</w:t>
      </w:r>
      <w:r w:rsidR="009E6BE4">
        <w:rPr>
          <w:rFonts w:ascii="Arial" w:hAnsi="Arial" w:cs="Arial"/>
          <w:sz w:val="24"/>
          <w:szCs w:val="24"/>
          <w:lang w:val="es-ES"/>
        </w:rPr>
        <w:t xml:space="preserve"> que une a la enzima conversora de la angiotensina 2</w:t>
      </w:r>
      <w:r w:rsidR="001A216C">
        <w:rPr>
          <w:rFonts w:ascii="Arial" w:hAnsi="Arial" w:cs="Arial"/>
          <w:sz w:val="24"/>
          <w:szCs w:val="24"/>
          <w:lang w:val="es-ES"/>
        </w:rPr>
        <w:t xml:space="preserve">.  </w:t>
      </w:r>
      <w:r w:rsidR="00F43B6D">
        <w:rPr>
          <w:rFonts w:ascii="Arial" w:hAnsi="Arial" w:cs="Arial"/>
          <w:sz w:val="24"/>
          <w:szCs w:val="24"/>
          <w:lang w:val="es-ES"/>
        </w:rPr>
        <w:t>En realidad</w:t>
      </w:r>
      <w:r w:rsidR="009E6BE4">
        <w:rPr>
          <w:rFonts w:ascii="Arial" w:hAnsi="Arial" w:cs="Arial"/>
          <w:sz w:val="24"/>
          <w:szCs w:val="24"/>
          <w:lang w:val="es-ES"/>
        </w:rPr>
        <w:t xml:space="preserve">, recientemente </w:t>
      </w:r>
      <w:r w:rsidR="00F43B6D">
        <w:rPr>
          <w:rFonts w:ascii="Arial" w:hAnsi="Arial" w:cs="Arial"/>
          <w:sz w:val="24"/>
          <w:szCs w:val="24"/>
          <w:lang w:val="es-ES"/>
        </w:rPr>
        <w:t>ha habido una rápida diseminación de variantes del SARS-CoV-2, como la variante B.1.1.7 que surgió en el Reino Unido y la variante 501Y.V2 que fue descubierta en Sudáfrica, que son capaces de reducir la potencia de neutralización de algunos anticuerpos monoclonales que unen esta región y, de manera preocupante, hasta del plasma humano de convalecientes.</w:t>
      </w:r>
      <w:r w:rsidR="00F43B6D" w:rsidRPr="0056030C">
        <w:rPr>
          <w:rFonts w:ascii="Arial" w:hAnsi="Arial" w:cs="Arial"/>
          <w:color w:val="4F81BD" w:themeColor="accent1"/>
          <w:sz w:val="24"/>
          <w:szCs w:val="24"/>
          <w:vertAlign w:val="superscript"/>
          <w:lang w:val="es-ES"/>
        </w:rPr>
        <w:t>15</w:t>
      </w:r>
      <w:r w:rsidR="00F43B6D">
        <w:rPr>
          <w:rFonts w:ascii="Arial" w:hAnsi="Arial" w:cs="Arial"/>
          <w:sz w:val="24"/>
          <w:szCs w:val="24"/>
          <w:lang w:val="es-ES"/>
        </w:rPr>
        <w:t xml:space="preserve"> </w:t>
      </w:r>
    </w:p>
    <w:p w:rsidR="00F43B6D" w:rsidRPr="004562B6" w:rsidRDefault="00F43B6D" w:rsidP="003432C1">
      <w:pPr>
        <w:autoSpaceDE w:val="0"/>
        <w:autoSpaceDN w:val="0"/>
        <w:adjustRightInd w:val="0"/>
        <w:spacing w:after="0" w:line="360" w:lineRule="auto"/>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629"/>
        <w:gridCol w:w="2546"/>
        <w:gridCol w:w="6401"/>
      </w:tblGrid>
      <w:tr w:rsidR="003432C1" w:rsidRPr="00A5796D" w:rsidTr="00733488">
        <w:tc>
          <w:tcPr>
            <w:tcW w:w="9576" w:type="dxa"/>
            <w:gridSpan w:val="3"/>
            <w:tcBorders>
              <w:top w:val="single" w:sz="24" w:space="0" w:color="auto"/>
              <w:left w:val="nil"/>
              <w:bottom w:val="nil"/>
              <w:right w:val="nil"/>
            </w:tcBorders>
          </w:tcPr>
          <w:p w:rsidR="003432C1" w:rsidRPr="008C3A17" w:rsidRDefault="003432C1" w:rsidP="00DD46D5">
            <w:pPr>
              <w:autoSpaceDE w:val="0"/>
              <w:autoSpaceDN w:val="0"/>
              <w:adjustRightInd w:val="0"/>
              <w:spacing w:before="120" w:line="276" w:lineRule="auto"/>
              <w:jc w:val="both"/>
              <w:rPr>
                <w:rFonts w:ascii="Arial" w:hAnsi="Arial" w:cs="Arial"/>
                <w:b/>
                <w:lang w:val="es-ES"/>
              </w:rPr>
            </w:pPr>
            <w:r w:rsidRPr="008C3A17">
              <w:rPr>
                <w:rFonts w:ascii="Arial" w:hAnsi="Arial" w:cs="Arial"/>
                <w:b/>
                <w:lang w:val="es-ES"/>
              </w:rPr>
              <w:lastRenderedPageBreak/>
              <w:t xml:space="preserve">Los anticuerpos de dominio simple </w:t>
            </w:r>
            <w:r w:rsidR="0056030C" w:rsidRPr="008C3A17">
              <w:rPr>
                <w:rFonts w:ascii="Arial" w:hAnsi="Arial" w:cs="Arial"/>
                <w:b/>
                <w:lang w:val="es-ES"/>
              </w:rPr>
              <w:t>en</w:t>
            </w:r>
            <w:r w:rsidRPr="008C3A17">
              <w:rPr>
                <w:rFonts w:ascii="Arial" w:hAnsi="Arial" w:cs="Arial"/>
                <w:b/>
                <w:lang w:val="es-ES"/>
              </w:rPr>
              <w:t>la</w:t>
            </w:r>
            <w:r w:rsidR="0056030C" w:rsidRPr="008C3A17">
              <w:rPr>
                <w:rFonts w:ascii="Arial" w:hAnsi="Arial" w:cs="Arial"/>
                <w:b/>
                <w:lang w:val="es-ES"/>
              </w:rPr>
              <w:t>za</w:t>
            </w:r>
            <w:r w:rsidRPr="008C3A17">
              <w:rPr>
                <w:rFonts w:ascii="Arial" w:hAnsi="Arial" w:cs="Arial"/>
                <w:b/>
                <w:lang w:val="es-ES"/>
              </w:rPr>
              <w:t>dos previenen el escape</w:t>
            </w:r>
            <w:r w:rsidR="0056030C" w:rsidRPr="008C3A17">
              <w:rPr>
                <w:rFonts w:ascii="Arial" w:hAnsi="Arial" w:cs="Arial"/>
                <w:b/>
                <w:lang w:val="es-ES"/>
              </w:rPr>
              <w:t xml:space="preserve"> d</w:t>
            </w:r>
            <w:r w:rsidRPr="008C3A17">
              <w:rPr>
                <w:rFonts w:ascii="Arial" w:hAnsi="Arial" w:cs="Arial"/>
                <w:b/>
                <w:lang w:val="es-ES"/>
              </w:rPr>
              <w:t>e</w:t>
            </w:r>
            <w:r w:rsidR="0056030C" w:rsidRPr="008C3A17">
              <w:rPr>
                <w:rFonts w:ascii="Arial" w:hAnsi="Arial" w:cs="Arial"/>
                <w:b/>
                <w:lang w:val="es-ES"/>
              </w:rPr>
              <w:t>l viru</w:t>
            </w:r>
            <w:r w:rsidRPr="008C3A17">
              <w:rPr>
                <w:rFonts w:ascii="Arial" w:hAnsi="Arial" w:cs="Arial"/>
                <w:b/>
                <w:lang w:val="es-ES"/>
              </w:rPr>
              <w:t>s</w:t>
            </w:r>
          </w:p>
          <w:p w:rsidR="0056030C" w:rsidRPr="008C3A17" w:rsidRDefault="0056030C" w:rsidP="00DD46D5">
            <w:pPr>
              <w:autoSpaceDE w:val="0"/>
              <w:autoSpaceDN w:val="0"/>
              <w:adjustRightInd w:val="0"/>
              <w:spacing w:after="120" w:line="276" w:lineRule="auto"/>
              <w:jc w:val="both"/>
              <w:rPr>
                <w:rFonts w:ascii="Arial" w:hAnsi="Arial" w:cs="Arial"/>
                <w:sz w:val="18"/>
                <w:szCs w:val="18"/>
                <w:lang w:val="es-ES"/>
              </w:rPr>
            </w:pPr>
            <w:r w:rsidRPr="008C3A17">
              <w:rPr>
                <w:rFonts w:ascii="Arial" w:hAnsi="Arial" w:cs="Arial"/>
                <w:sz w:val="18"/>
                <w:szCs w:val="18"/>
                <w:lang w:val="es-ES"/>
              </w:rPr>
              <w:t>La proteína espícula del SARS-CoV-2 contiene el dominio de unión al receptor que enlaza a la enzima conversora de la angiotensina 2 en las células anfitrionas, conduc</w:t>
            </w:r>
            <w:r w:rsidR="000F23BC" w:rsidRPr="008C3A17">
              <w:rPr>
                <w:rFonts w:ascii="Arial" w:hAnsi="Arial" w:cs="Arial"/>
                <w:sz w:val="18"/>
                <w:szCs w:val="18"/>
                <w:lang w:val="es-ES"/>
              </w:rPr>
              <w:t>i</w:t>
            </w:r>
            <w:r w:rsidRPr="008C3A17">
              <w:rPr>
                <w:rFonts w:ascii="Arial" w:hAnsi="Arial" w:cs="Arial"/>
                <w:sz w:val="18"/>
                <w:szCs w:val="18"/>
                <w:lang w:val="es-ES"/>
              </w:rPr>
              <w:t>en</w:t>
            </w:r>
            <w:r w:rsidR="000F23BC" w:rsidRPr="008C3A17">
              <w:rPr>
                <w:rFonts w:ascii="Arial" w:hAnsi="Arial" w:cs="Arial"/>
                <w:sz w:val="18"/>
                <w:szCs w:val="18"/>
                <w:lang w:val="es-ES"/>
              </w:rPr>
              <w:t>do</w:t>
            </w:r>
            <w:r w:rsidRPr="008C3A17">
              <w:rPr>
                <w:rFonts w:ascii="Arial" w:hAnsi="Arial" w:cs="Arial"/>
                <w:sz w:val="18"/>
                <w:szCs w:val="18"/>
                <w:lang w:val="es-ES"/>
              </w:rPr>
              <w:t xml:space="preserve"> a la entrada de la célula.  </w:t>
            </w:r>
            <w:r w:rsidR="000F23BC" w:rsidRPr="008C3A17">
              <w:rPr>
                <w:rFonts w:ascii="Arial" w:hAnsi="Arial" w:cs="Arial"/>
                <w:sz w:val="18"/>
                <w:szCs w:val="18"/>
                <w:lang w:val="es-ES"/>
              </w:rPr>
              <w:t xml:space="preserve">La </w:t>
            </w:r>
            <w:r w:rsidR="00DD46D5" w:rsidRPr="008C3A17">
              <w:rPr>
                <w:rFonts w:ascii="Arial" w:hAnsi="Arial" w:cs="Arial"/>
                <w:sz w:val="18"/>
                <w:szCs w:val="18"/>
                <w:lang w:val="es-ES"/>
              </w:rPr>
              <w:t>unión</w:t>
            </w:r>
            <w:r w:rsidR="00DD46D5">
              <w:rPr>
                <w:rFonts w:ascii="Arial" w:hAnsi="Arial" w:cs="Arial"/>
                <w:sz w:val="18"/>
                <w:szCs w:val="18"/>
                <w:lang w:val="es-ES"/>
              </w:rPr>
              <w:t xml:space="preserve"> del</w:t>
            </w:r>
            <w:r w:rsidR="000F23BC" w:rsidRPr="008C3A17">
              <w:rPr>
                <w:rFonts w:ascii="Arial" w:hAnsi="Arial" w:cs="Arial"/>
                <w:sz w:val="18"/>
                <w:szCs w:val="18"/>
                <w:lang w:val="es-ES"/>
              </w:rPr>
              <w:t xml:space="preserve"> dominio de unión al receptor- enzima conversora de la angiotensina 2 puede ser prevenida por los anticuerpos de dominio simple, o  VHH. El tratamiento combinado con VHH1 y VHH2, que une regiones no coincidentes del dominio  de unión al receptor, previene la infección hasta que aparecen mutantes de escape. Eso puede ser superado cuando los VHH están unidos covalentemente en </w:t>
            </w:r>
            <w:r w:rsidR="00CA18C4" w:rsidRPr="008C3A17">
              <w:rPr>
                <w:rFonts w:ascii="Arial" w:hAnsi="Arial" w:cs="Arial"/>
                <w:sz w:val="18"/>
                <w:szCs w:val="18"/>
                <w:lang w:val="es-ES"/>
              </w:rPr>
              <w:t xml:space="preserve">una molécula biespecífica. </w:t>
            </w:r>
            <w:r w:rsidR="000F23BC" w:rsidRPr="008C3A17">
              <w:rPr>
                <w:rFonts w:ascii="Arial" w:hAnsi="Arial" w:cs="Arial"/>
                <w:sz w:val="18"/>
                <w:szCs w:val="18"/>
                <w:lang w:val="es-ES"/>
              </w:rPr>
              <w:t xml:space="preserve">   </w:t>
            </w:r>
          </w:p>
        </w:tc>
      </w:tr>
      <w:tr w:rsidR="005C1B23" w:rsidRPr="003432C1" w:rsidTr="00733488">
        <w:trPr>
          <w:trHeight w:val="530"/>
        </w:trPr>
        <w:tc>
          <w:tcPr>
            <w:tcW w:w="3168" w:type="dxa"/>
            <w:gridSpan w:val="2"/>
            <w:tcBorders>
              <w:top w:val="nil"/>
              <w:left w:val="nil"/>
              <w:bottom w:val="nil"/>
              <w:right w:val="nil"/>
            </w:tcBorders>
          </w:tcPr>
          <w:p w:rsidR="005C1B23" w:rsidRPr="008C3A17" w:rsidRDefault="005C1B23" w:rsidP="00CA18C4">
            <w:pPr>
              <w:autoSpaceDE w:val="0"/>
              <w:autoSpaceDN w:val="0"/>
              <w:adjustRightInd w:val="0"/>
              <w:jc w:val="both"/>
              <w:rPr>
                <w:rFonts w:ascii="Arial" w:hAnsi="Arial" w:cs="Arial"/>
                <w:sz w:val="24"/>
                <w:szCs w:val="24"/>
                <w:vertAlign w:val="superscript"/>
                <w:lang w:val="es-ES"/>
              </w:rPr>
            </w:pPr>
            <w:r>
              <w:rPr>
                <w:noProof/>
                <w:lang w:val="es-CU" w:eastAsia="es-CU"/>
              </w:rPr>
              <w:drawing>
                <wp:inline distT="0" distB="0" distL="0" distR="0" wp14:anchorId="5F9AF3A6" wp14:editId="56822183">
                  <wp:extent cx="685800" cy="180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5800" cy="180975"/>
                          </a:xfrm>
                          <a:prstGeom prst="rect">
                            <a:avLst/>
                          </a:prstGeom>
                        </pic:spPr>
                      </pic:pic>
                    </a:graphicData>
                  </a:graphic>
                </wp:inline>
              </w:drawing>
            </w:r>
            <w:r w:rsidRPr="008C3A17">
              <w:rPr>
                <w:rFonts w:ascii="Arial" w:hAnsi="Arial" w:cs="Arial"/>
                <w:sz w:val="24"/>
                <w:szCs w:val="24"/>
                <w:vertAlign w:val="superscript"/>
                <w:lang w:val="es-ES"/>
              </w:rPr>
              <w:t>Conservado</w:t>
            </w:r>
          </w:p>
          <w:p w:rsidR="005C1B23" w:rsidRPr="008C3A17" w:rsidRDefault="005C1B23" w:rsidP="00CA18C4">
            <w:pPr>
              <w:autoSpaceDE w:val="0"/>
              <w:autoSpaceDN w:val="0"/>
              <w:adjustRightInd w:val="0"/>
              <w:jc w:val="both"/>
              <w:rPr>
                <w:rFonts w:ascii="Arial" w:hAnsi="Arial" w:cs="Arial"/>
                <w:sz w:val="18"/>
                <w:szCs w:val="18"/>
                <w:lang w:val="es-ES"/>
              </w:rPr>
            </w:pPr>
            <w:r w:rsidRPr="008C3A17">
              <w:rPr>
                <w:rFonts w:ascii="Arial" w:hAnsi="Arial" w:cs="Arial"/>
                <w:sz w:val="18"/>
                <w:szCs w:val="18"/>
                <w:lang w:val="es-ES"/>
              </w:rPr>
              <w:t>Cambio antigénico</w:t>
            </w:r>
          </w:p>
        </w:tc>
        <w:tc>
          <w:tcPr>
            <w:tcW w:w="6408" w:type="dxa"/>
            <w:vMerge w:val="restart"/>
            <w:tcBorders>
              <w:top w:val="nil"/>
              <w:left w:val="nil"/>
              <w:bottom w:val="nil"/>
              <w:right w:val="nil"/>
            </w:tcBorders>
          </w:tcPr>
          <w:p w:rsidR="005C1B23" w:rsidRPr="003432C1" w:rsidRDefault="005C1B23" w:rsidP="00F43B6D">
            <w:pPr>
              <w:autoSpaceDE w:val="0"/>
              <w:autoSpaceDN w:val="0"/>
              <w:adjustRightInd w:val="0"/>
              <w:spacing w:line="360" w:lineRule="auto"/>
              <w:jc w:val="both"/>
              <w:rPr>
                <w:rFonts w:ascii="Arial" w:hAnsi="Arial" w:cs="Arial"/>
                <w:sz w:val="24"/>
                <w:szCs w:val="24"/>
                <w:lang w:val="es-ES"/>
              </w:rPr>
            </w:pPr>
            <w:r>
              <w:rPr>
                <w:noProof/>
                <w:lang w:val="es-CU" w:eastAsia="es-CU"/>
              </w:rPr>
              <w:drawing>
                <wp:inline distT="0" distB="0" distL="0" distR="0" wp14:anchorId="594C823E" wp14:editId="672D74B0">
                  <wp:extent cx="3944471" cy="3612776"/>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58624" cy="3625739"/>
                          </a:xfrm>
                          <a:prstGeom prst="rect">
                            <a:avLst/>
                          </a:prstGeom>
                        </pic:spPr>
                      </pic:pic>
                    </a:graphicData>
                  </a:graphic>
                </wp:inline>
              </w:drawing>
            </w:r>
          </w:p>
        </w:tc>
      </w:tr>
      <w:tr w:rsidR="005C1B23" w:rsidRPr="00A5796D" w:rsidTr="00733488">
        <w:trPr>
          <w:trHeight w:val="529"/>
        </w:trPr>
        <w:tc>
          <w:tcPr>
            <w:tcW w:w="450" w:type="dxa"/>
            <w:tcBorders>
              <w:top w:val="nil"/>
              <w:left w:val="nil"/>
              <w:bottom w:val="nil"/>
              <w:right w:val="nil"/>
            </w:tcBorders>
          </w:tcPr>
          <w:p w:rsidR="005C1B23" w:rsidRDefault="005C1B23" w:rsidP="00CA18C4">
            <w:pPr>
              <w:autoSpaceDE w:val="0"/>
              <w:autoSpaceDN w:val="0"/>
              <w:adjustRightInd w:val="0"/>
              <w:jc w:val="both"/>
              <w:rPr>
                <w:noProof/>
              </w:rPr>
            </w:pPr>
            <w:r>
              <w:rPr>
                <w:noProof/>
                <w:lang w:val="es-CU" w:eastAsia="es-CU"/>
              </w:rPr>
              <w:drawing>
                <wp:inline distT="0" distB="0" distL="0" distR="0" wp14:anchorId="04657D5C" wp14:editId="4486E91F">
                  <wp:extent cx="147918" cy="484094"/>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2731" cy="499847"/>
                          </a:xfrm>
                          <a:prstGeom prst="rect">
                            <a:avLst/>
                          </a:prstGeom>
                        </pic:spPr>
                      </pic:pic>
                    </a:graphicData>
                  </a:graphic>
                </wp:inline>
              </w:drawing>
            </w:r>
          </w:p>
        </w:tc>
        <w:tc>
          <w:tcPr>
            <w:tcW w:w="2718" w:type="dxa"/>
            <w:tcBorders>
              <w:top w:val="nil"/>
              <w:left w:val="nil"/>
              <w:bottom w:val="nil"/>
              <w:right w:val="nil"/>
            </w:tcBorders>
          </w:tcPr>
          <w:p w:rsidR="005C1B23" w:rsidRDefault="005C1B23" w:rsidP="005C1B23">
            <w:pPr>
              <w:autoSpaceDE w:val="0"/>
              <w:autoSpaceDN w:val="0"/>
              <w:adjustRightInd w:val="0"/>
              <w:spacing w:before="60"/>
              <w:jc w:val="both"/>
              <w:rPr>
                <w:rFonts w:ascii="Arial" w:hAnsi="Arial" w:cs="Arial"/>
                <w:noProof/>
                <w:sz w:val="16"/>
                <w:szCs w:val="16"/>
                <w:lang w:val="es-ES"/>
              </w:rPr>
            </w:pPr>
            <w:r w:rsidRPr="005C1B23">
              <w:rPr>
                <w:rFonts w:ascii="Arial" w:hAnsi="Arial" w:cs="Arial"/>
                <w:noProof/>
                <w:sz w:val="16"/>
                <w:szCs w:val="16"/>
                <w:lang w:val="es-ES"/>
              </w:rPr>
              <w:t>Frecuente en los virus circulantes</w:t>
            </w:r>
          </w:p>
          <w:p w:rsidR="005C1B23" w:rsidRPr="008C3A17" w:rsidRDefault="005C1B23" w:rsidP="005C1B23">
            <w:pPr>
              <w:autoSpaceDE w:val="0"/>
              <w:autoSpaceDN w:val="0"/>
              <w:adjustRightInd w:val="0"/>
              <w:spacing w:before="60"/>
              <w:jc w:val="both"/>
              <w:rPr>
                <w:rFonts w:ascii="Arial" w:hAnsi="Arial" w:cs="Arial"/>
                <w:noProof/>
                <w:sz w:val="24"/>
                <w:szCs w:val="24"/>
                <w:vertAlign w:val="superscript"/>
                <w:lang w:val="es-ES"/>
              </w:rPr>
            </w:pPr>
            <w:r w:rsidRPr="008C3A17">
              <w:rPr>
                <w:rFonts w:ascii="Arial" w:hAnsi="Arial" w:cs="Arial"/>
                <w:noProof/>
                <w:sz w:val="24"/>
                <w:szCs w:val="24"/>
                <w:vertAlign w:val="superscript"/>
                <w:lang w:val="es-ES"/>
              </w:rPr>
              <w:t>Raro en los virus circulantes</w:t>
            </w:r>
          </w:p>
        </w:tc>
        <w:tc>
          <w:tcPr>
            <w:tcW w:w="6408" w:type="dxa"/>
            <w:vMerge/>
            <w:tcBorders>
              <w:top w:val="nil"/>
              <w:left w:val="nil"/>
              <w:bottom w:val="nil"/>
              <w:right w:val="nil"/>
            </w:tcBorders>
          </w:tcPr>
          <w:p w:rsidR="005C1B23" w:rsidRPr="003432C1" w:rsidRDefault="005C1B23" w:rsidP="00F43B6D">
            <w:pPr>
              <w:autoSpaceDE w:val="0"/>
              <w:autoSpaceDN w:val="0"/>
              <w:adjustRightInd w:val="0"/>
              <w:spacing w:line="360" w:lineRule="auto"/>
              <w:jc w:val="both"/>
              <w:rPr>
                <w:rFonts w:ascii="Arial" w:hAnsi="Arial" w:cs="Arial"/>
                <w:sz w:val="24"/>
                <w:szCs w:val="24"/>
                <w:lang w:val="es-ES"/>
              </w:rPr>
            </w:pPr>
          </w:p>
        </w:tc>
      </w:tr>
      <w:tr w:rsidR="005C1B23" w:rsidRPr="003432C1" w:rsidTr="00733488">
        <w:tc>
          <w:tcPr>
            <w:tcW w:w="3168" w:type="dxa"/>
            <w:gridSpan w:val="2"/>
            <w:tcBorders>
              <w:top w:val="nil"/>
              <w:left w:val="nil"/>
              <w:bottom w:val="nil"/>
              <w:right w:val="nil"/>
            </w:tcBorders>
          </w:tcPr>
          <w:p w:rsidR="005C1B23" w:rsidRPr="003432C1" w:rsidRDefault="005C1B23" w:rsidP="00F43B6D">
            <w:pPr>
              <w:autoSpaceDE w:val="0"/>
              <w:autoSpaceDN w:val="0"/>
              <w:adjustRightInd w:val="0"/>
              <w:spacing w:line="360" w:lineRule="auto"/>
              <w:jc w:val="both"/>
              <w:rPr>
                <w:rFonts w:ascii="Arial" w:hAnsi="Arial" w:cs="Arial"/>
                <w:sz w:val="24"/>
                <w:szCs w:val="24"/>
                <w:lang w:val="es-ES"/>
              </w:rPr>
            </w:pPr>
            <w:r>
              <w:rPr>
                <w:noProof/>
                <w:lang w:val="es-CU" w:eastAsia="es-CU"/>
              </w:rPr>
              <w:drawing>
                <wp:inline distT="0" distB="0" distL="0" distR="0" wp14:anchorId="35B9B657" wp14:editId="3094EFEA">
                  <wp:extent cx="1882588" cy="2976283"/>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86613" cy="2982647"/>
                          </a:xfrm>
                          <a:prstGeom prst="rect">
                            <a:avLst/>
                          </a:prstGeom>
                        </pic:spPr>
                      </pic:pic>
                    </a:graphicData>
                  </a:graphic>
                </wp:inline>
              </w:drawing>
            </w:r>
          </w:p>
        </w:tc>
        <w:tc>
          <w:tcPr>
            <w:tcW w:w="6408" w:type="dxa"/>
            <w:vMerge/>
            <w:tcBorders>
              <w:top w:val="nil"/>
              <w:left w:val="nil"/>
              <w:bottom w:val="nil"/>
              <w:right w:val="nil"/>
            </w:tcBorders>
          </w:tcPr>
          <w:p w:rsidR="005C1B23" w:rsidRPr="003432C1" w:rsidRDefault="005C1B23" w:rsidP="00F43B6D">
            <w:pPr>
              <w:autoSpaceDE w:val="0"/>
              <w:autoSpaceDN w:val="0"/>
              <w:adjustRightInd w:val="0"/>
              <w:spacing w:line="360" w:lineRule="auto"/>
              <w:jc w:val="both"/>
              <w:rPr>
                <w:rFonts w:ascii="Arial" w:hAnsi="Arial" w:cs="Arial"/>
                <w:sz w:val="24"/>
                <w:szCs w:val="24"/>
                <w:lang w:val="es-ES"/>
              </w:rPr>
            </w:pPr>
          </w:p>
        </w:tc>
      </w:tr>
      <w:tr w:rsidR="00F43B6D" w:rsidRPr="00A5796D" w:rsidTr="00733488">
        <w:tc>
          <w:tcPr>
            <w:tcW w:w="3168" w:type="dxa"/>
            <w:gridSpan w:val="2"/>
            <w:tcBorders>
              <w:top w:val="nil"/>
              <w:left w:val="nil"/>
              <w:bottom w:val="nil"/>
              <w:right w:val="nil"/>
            </w:tcBorders>
          </w:tcPr>
          <w:p w:rsidR="005C1B23" w:rsidRPr="008C3A17" w:rsidRDefault="005C1B23" w:rsidP="00DD46D5">
            <w:pPr>
              <w:autoSpaceDE w:val="0"/>
              <w:autoSpaceDN w:val="0"/>
              <w:adjustRightInd w:val="0"/>
              <w:spacing w:before="120"/>
              <w:jc w:val="both"/>
              <w:rPr>
                <w:rFonts w:ascii="Arial" w:hAnsi="Arial" w:cs="Arial"/>
                <w:sz w:val="18"/>
                <w:szCs w:val="18"/>
                <w:lang w:val="es-ES"/>
              </w:rPr>
            </w:pPr>
            <w:r w:rsidRPr="008C3A17">
              <w:rPr>
                <w:rFonts w:ascii="Arial" w:hAnsi="Arial" w:cs="Arial"/>
                <w:sz w:val="18"/>
                <w:szCs w:val="18"/>
                <w:lang w:val="es-ES"/>
              </w:rPr>
              <w:t xml:space="preserve">Host  </w:t>
            </w:r>
            <w:proofErr w:type="spellStart"/>
            <w:r w:rsidRPr="008C3A17">
              <w:rPr>
                <w:rFonts w:ascii="Arial" w:hAnsi="Arial" w:cs="Arial"/>
                <w:sz w:val="18"/>
                <w:szCs w:val="18"/>
                <w:lang w:val="es-ES"/>
              </w:rPr>
              <w:t>cell</w:t>
            </w:r>
            <w:proofErr w:type="spellEnd"/>
            <w:r w:rsidR="00733488" w:rsidRPr="008C3A17">
              <w:rPr>
                <w:rFonts w:ascii="Arial" w:hAnsi="Arial" w:cs="Arial"/>
                <w:sz w:val="18"/>
                <w:szCs w:val="18"/>
                <w:lang w:val="es-ES"/>
              </w:rPr>
              <w:t>,</w:t>
            </w:r>
            <w:r w:rsidRPr="008C3A17">
              <w:rPr>
                <w:rFonts w:ascii="Arial" w:hAnsi="Arial" w:cs="Arial"/>
                <w:sz w:val="18"/>
                <w:szCs w:val="18"/>
                <w:lang w:val="es-ES"/>
              </w:rPr>
              <w:t xml:space="preserve"> </w:t>
            </w:r>
            <w:proofErr w:type="spellStart"/>
            <w:r w:rsidRPr="008C3A17">
              <w:rPr>
                <w:rFonts w:ascii="Arial" w:hAnsi="Arial" w:cs="Arial"/>
                <w:sz w:val="18"/>
                <w:szCs w:val="18"/>
                <w:lang w:val="es-ES"/>
              </w:rPr>
              <w:t>celula</w:t>
            </w:r>
            <w:proofErr w:type="spellEnd"/>
            <w:r w:rsidRPr="008C3A17">
              <w:rPr>
                <w:rFonts w:ascii="Arial" w:hAnsi="Arial" w:cs="Arial"/>
                <w:sz w:val="18"/>
                <w:szCs w:val="18"/>
                <w:lang w:val="es-ES"/>
              </w:rPr>
              <w:t xml:space="preserve"> anfitriona</w:t>
            </w:r>
            <w:r w:rsidR="00733488" w:rsidRPr="008C3A17">
              <w:rPr>
                <w:rFonts w:ascii="Arial" w:hAnsi="Arial" w:cs="Arial"/>
                <w:sz w:val="18"/>
                <w:szCs w:val="18"/>
                <w:lang w:val="es-ES"/>
              </w:rPr>
              <w:t xml:space="preserve">; </w:t>
            </w:r>
            <w:r w:rsidRPr="008C3A17">
              <w:rPr>
                <w:rFonts w:ascii="Arial" w:hAnsi="Arial" w:cs="Arial"/>
                <w:sz w:val="18"/>
                <w:szCs w:val="18"/>
                <w:lang w:val="es-ES"/>
              </w:rPr>
              <w:t>ACE-2</w:t>
            </w:r>
            <w:r w:rsidR="00733488" w:rsidRPr="008C3A17">
              <w:rPr>
                <w:rFonts w:ascii="Arial" w:hAnsi="Arial" w:cs="Arial"/>
                <w:sz w:val="18"/>
                <w:szCs w:val="18"/>
                <w:lang w:val="es-ES"/>
              </w:rPr>
              <w:t>,</w:t>
            </w:r>
            <w:r w:rsidRPr="008C3A17">
              <w:rPr>
                <w:rFonts w:ascii="Arial" w:hAnsi="Arial" w:cs="Arial"/>
                <w:sz w:val="18"/>
                <w:szCs w:val="18"/>
                <w:lang w:val="es-ES"/>
              </w:rPr>
              <w:t xml:space="preserve"> enzima conversora de la angiotensina 2</w:t>
            </w:r>
            <w:r w:rsidR="00733488" w:rsidRPr="008C3A17">
              <w:rPr>
                <w:rFonts w:ascii="Arial" w:hAnsi="Arial" w:cs="Arial"/>
                <w:sz w:val="18"/>
                <w:szCs w:val="18"/>
                <w:lang w:val="es-ES"/>
              </w:rPr>
              <w:t>;</w:t>
            </w:r>
            <w:r w:rsidR="008C3A17">
              <w:rPr>
                <w:rFonts w:ascii="Arial" w:hAnsi="Arial" w:cs="Arial"/>
                <w:sz w:val="18"/>
                <w:szCs w:val="18"/>
                <w:lang w:val="es-ES"/>
              </w:rPr>
              <w:t xml:space="preserve"> </w:t>
            </w:r>
            <w:r w:rsidRPr="008C3A17">
              <w:rPr>
                <w:rFonts w:ascii="Arial" w:hAnsi="Arial" w:cs="Arial"/>
                <w:sz w:val="18"/>
                <w:szCs w:val="18"/>
                <w:lang w:val="es-ES"/>
              </w:rPr>
              <w:t>RBD</w:t>
            </w:r>
            <w:r w:rsidR="00733488" w:rsidRPr="008C3A17">
              <w:rPr>
                <w:rFonts w:ascii="Arial" w:hAnsi="Arial" w:cs="Arial"/>
                <w:sz w:val="18"/>
                <w:szCs w:val="18"/>
                <w:lang w:val="es-ES"/>
              </w:rPr>
              <w:t>,</w:t>
            </w:r>
            <w:r w:rsidRPr="008C3A17">
              <w:rPr>
                <w:rFonts w:ascii="Arial" w:hAnsi="Arial" w:cs="Arial"/>
                <w:sz w:val="18"/>
                <w:szCs w:val="18"/>
                <w:lang w:val="es-ES"/>
              </w:rPr>
              <w:t xml:space="preserve"> dominio de unión al receptor</w:t>
            </w:r>
            <w:r w:rsidR="00733488" w:rsidRPr="008C3A17">
              <w:rPr>
                <w:rFonts w:ascii="Arial" w:hAnsi="Arial" w:cs="Arial"/>
                <w:sz w:val="18"/>
                <w:szCs w:val="18"/>
                <w:lang w:val="es-ES"/>
              </w:rPr>
              <w:t xml:space="preserve">; </w:t>
            </w:r>
            <w:proofErr w:type="spellStart"/>
            <w:r w:rsidRPr="008C3A17">
              <w:rPr>
                <w:rFonts w:ascii="Arial" w:hAnsi="Arial" w:cs="Arial"/>
                <w:sz w:val="18"/>
                <w:szCs w:val="18"/>
                <w:lang w:val="es-ES"/>
              </w:rPr>
              <w:t>Spike</w:t>
            </w:r>
            <w:proofErr w:type="spellEnd"/>
            <w:r w:rsidRPr="008C3A17">
              <w:rPr>
                <w:rFonts w:ascii="Arial" w:hAnsi="Arial" w:cs="Arial"/>
                <w:sz w:val="18"/>
                <w:szCs w:val="18"/>
                <w:lang w:val="es-ES"/>
              </w:rPr>
              <w:t xml:space="preserve"> </w:t>
            </w:r>
            <w:proofErr w:type="spellStart"/>
            <w:r w:rsidRPr="008C3A17">
              <w:rPr>
                <w:rFonts w:ascii="Arial" w:hAnsi="Arial" w:cs="Arial"/>
                <w:sz w:val="18"/>
                <w:szCs w:val="18"/>
                <w:lang w:val="es-ES"/>
              </w:rPr>
              <w:t>protein</w:t>
            </w:r>
            <w:proofErr w:type="spellEnd"/>
            <w:r w:rsidR="00733488" w:rsidRPr="008C3A17">
              <w:rPr>
                <w:rFonts w:ascii="Arial" w:hAnsi="Arial" w:cs="Arial"/>
                <w:sz w:val="18"/>
                <w:szCs w:val="18"/>
                <w:lang w:val="es-ES"/>
              </w:rPr>
              <w:t>,</w:t>
            </w:r>
            <w:r w:rsidRPr="008C3A17">
              <w:rPr>
                <w:rFonts w:ascii="Arial" w:hAnsi="Arial" w:cs="Arial"/>
                <w:sz w:val="18"/>
                <w:szCs w:val="18"/>
                <w:lang w:val="es-ES"/>
              </w:rPr>
              <w:t xml:space="preserve"> proteína </w:t>
            </w:r>
            <w:r w:rsidR="00733488" w:rsidRPr="008C3A17">
              <w:rPr>
                <w:rFonts w:ascii="Arial" w:hAnsi="Arial" w:cs="Arial"/>
                <w:sz w:val="18"/>
                <w:szCs w:val="18"/>
                <w:lang w:val="es-ES"/>
              </w:rPr>
              <w:t xml:space="preserve">espícula; </w:t>
            </w:r>
            <w:proofErr w:type="spellStart"/>
            <w:r w:rsidRPr="008C3A17">
              <w:rPr>
                <w:rFonts w:ascii="Arial" w:hAnsi="Arial" w:cs="Arial"/>
                <w:sz w:val="18"/>
                <w:szCs w:val="18"/>
                <w:lang w:val="es-ES"/>
              </w:rPr>
              <w:t>Virion</w:t>
            </w:r>
            <w:proofErr w:type="spellEnd"/>
            <w:r w:rsidR="00733488" w:rsidRPr="008C3A17">
              <w:rPr>
                <w:rFonts w:ascii="Arial" w:hAnsi="Arial" w:cs="Arial"/>
                <w:sz w:val="18"/>
                <w:szCs w:val="18"/>
                <w:lang w:val="es-ES"/>
              </w:rPr>
              <w:t>,</w:t>
            </w:r>
            <w:r w:rsidRPr="008C3A17">
              <w:rPr>
                <w:rFonts w:ascii="Arial" w:hAnsi="Arial" w:cs="Arial"/>
                <w:sz w:val="18"/>
                <w:szCs w:val="18"/>
                <w:lang w:val="es-ES"/>
              </w:rPr>
              <w:t xml:space="preserve"> </w:t>
            </w:r>
            <w:proofErr w:type="spellStart"/>
            <w:r w:rsidRPr="008C3A17">
              <w:rPr>
                <w:rFonts w:ascii="Arial" w:hAnsi="Arial" w:cs="Arial"/>
                <w:sz w:val="18"/>
                <w:szCs w:val="18"/>
                <w:lang w:val="es-ES"/>
              </w:rPr>
              <w:t>virión</w:t>
            </w:r>
            <w:proofErr w:type="spellEnd"/>
          </w:p>
        </w:tc>
        <w:tc>
          <w:tcPr>
            <w:tcW w:w="6408" w:type="dxa"/>
            <w:tcBorders>
              <w:top w:val="nil"/>
              <w:left w:val="nil"/>
              <w:bottom w:val="nil"/>
              <w:right w:val="nil"/>
            </w:tcBorders>
          </w:tcPr>
          <w:p w:rsidR="00F43B6D" w:rsidRPr="00733488" w:rsidRDefault="005C1B23" w:rsidP="00DD46D5">
            <w:pPr>
              <w:autoSpaceDE w:val="0"/>
              <w:autoSpaceDN w:val="0"/>
              <w:adjustRightInd w:val="0"/>
              <w:spacing w:before="120" w:after="120"/>
              <w:jc w:val="both"/>
              <w:rPr>
                <w:rFonts w:ascii="Arial" w:hAnsi="Arial" w:cs="Arial"/>
                <w:sz w:val="16"/>
                <w:szCs w:val="16"/>
                <w:lang w:val="es-ES"/>
              </w:rPr>
            </w:pPr>
            <w:r w:rsidRPr="008C3A17">
              <w:rPr>
                <w:rFonts w:ascii="Arial" w:hAnsi="Arial" w:cs="Arial"/>
                <w:sz w:val="18"/>
                <w:szCs w:val="18"/>
                <w:lang w:val="es-ES"/>
              </w:rPr>
              <w:t>Virus-</w:t>
            </w:r>
            <w:proofErr w:type="spellStart"/>
            <w:r w:rsidRPr="008C3A17">
              <w:rPr>
                <w:rFonts w:ascii="Arial" w:hAnsi="Arial" w:cs="Arial"/>
                <w:sz w:val="18"/>
                <w:szCs w:val="18"/>
                <w:lang w:val="es-ES"/>
              </w:rPr>
              <w:t>ne</w:t>
            </w:r>
            <w:r w:rsidR="00733488" w:rsidRPr="008C3A17">
              <w:rPr>
                <w:rFonts w:ascii="Arial" w:hAnsi="Arial" w:cs="Arial"/>
                <w:sz w:val="18"/>
                <w:szCs w:val="18"/>
                <w:lang w:val="es-ES"/>
              </w:rPr>
              <w:t>utralizing</w:t>
            </w:r>
            <w:proofErr w:type="spellEnd"/>
            <w:r w:rsidR="00733488" w:rsidRPr="008C3A17">
              <w:rPr>
                <w:rFonts w:ascii="Arial" w:hAnsi="Arial" w:cs="Arial"/>
                <w:sz w:val="18"/>
                <w:szCs w:val="18"/>
                <w:lang w:val="es-ES"/>
              </w:rPr>
              <w:t xml:space="preserve"> </w:t>
            </w:r>
            <w:proofErr w:type="spellStart"/>
            <w:r w:rsidR="00733488" w:rsidRPr="008C3A17">
              <w:rPr>
                <w:rFonts w:ascii="Arial" w:hAnsi="Arial" w:cs="Arial"/>
                <w:sz w:val="18"/>
                <w:szCs w:val="18"/>
                <w:lang w:val="es-ES"/>
              </w:rPr>
              <w:t>cocktail</w:t>
            </w:r>
            <w:proofErr w:type="spellEnd"/>
            <w:r w:rsidR="00733488" w:rsidRPr="008C3A17">
              <w:rPr>
                <w:rFonts w:ascii="Arial" w:hAnsi="Arial" w:cs="Arial"/>
                <w:sz w:val="18"/>
                <w:szCs w:val="18"/>
                <w:lang w:val="es-ES"/>
              </w:rPr>
              <w:t xml:space="preserve">, coctel neutralizante del virus;  RBD, dominio de unión al receptor; </w:t>
            </w:r>
            <w:proofErr w:type="spellStart"/>
            <w:r w:rsidR="00733488" w:rsidRPr="008C3A17">
              <w:rPr>
                <w:rFonts w:ascii="Arial" w:hAnsi="Arial" w:cs="Arial"/>
                <w:sz w:val="18"/>
                <w:szCs w:val="18"/>
                <w:lang w:val="es-ES"/>
              </w:rPr>
              <w:t>Immune</w:t>
            </w:r>
            <w:proofErr w:type="spellEnd"/>
            <w:r w:rsidR="00733488" w:rsidRPr="008C3A17">
              <w:rPr>
                <w:rFonts w:ascii="Arial" w:hAnsi="Arial" w:cs="Arial"/>
                <w:sz w:val="18"/>
                <w:szCs w:val="18"/>
                <w:lang w:val="es-ES"/>
              </w:rPr>
              <w:t xml:space="preserve">-escape RBD variantes, variantes del dominio de unión al receptor de inmuno-escape; Virus </w:t>
            </w:r>
            <w:proofErr w:type="spellStart"/>
            <w:r w:rsidR="00733488" w:rsidRPr="008C3A17">
              <w:rPr>
                <w:rFonts w:ascii="Arial" w:hAnsi="Arial" w:cs="Arial"/>
                <w:sz w:val="18"/>
                <w:szCs w:val="18"/>
                <w:lang w:val="es-ES"/>
              </w:rPr>
              <w:t>entry</w:t>
            </w:r>
            <w:proofErr w:type="spellEnd"/>
            <w:r w:rsidR="00733488" w:rsidRPr="008C3A17">
              <w:rPr>
                <w:rFonts w:ascii="Arial" w:hAnsi="Arial" w:cs="Arial"/>
                <w:sz w:val="18"/>
                <w:szCs w:val="18"/>
                <w:lang w:val="es-ES"/>
              </w:rPr>
              <w:t xml:space="preserve">, entrada del virus; </w:t>
            </w:r>
            <w:proofErr w:type="spellStart"/>
            <w:r w:rsidR="00733488" w:rsidRPr="008C3A17">
              <w:rPr>
                <w:rFonts w:ascii="Arial" w:hAnsi="Arial" w:cs="Arial"/>
                <w:sz w:val="18"/>
                <w:szCs w:val="18"/>
                <w:lang w:val="es-ES"/>
              </w:rPr>
              <w:t>Bispecific</w:t>
            </w:r>
            <w:proofErr w:type="spellEnd"/>
            <w:r w:rsidR="00733488" w:rsidRPr="008C3A17">
              <w:rPr>
                <w:rFonts w:ascii="Arial" w:hAnsi="Arial" w:cs="Arial"/>
                <w:sz w:val="18"/>
                <w:szCs w:val="18"/>
                <w:lang w:val="es-ES"/>
              </w:rPr>
              <w:t xml:space="preserve"> </w:t>
            </w:r>
            <w:proofErr w:type="spellStart"/>
            <w:r w:rsidR="00733488" w:rsidRPr="008C3A17">
              <w:rPr>
                <w:rFonts w:ascii="Arial" w:hAnsi="Arial" w:cs="Arial"/>
                <w:sz w:val="18"/>
                <w:szCs w:val="18"/>
                <w:lang w:val="es-ES"/>
              </w:rPr>
              <w:t>targeting</w:t>
            </w:r>
            <w:proofErr w:type="spellEnd"/>
            <w:r w:rsidR="00733488" w:rsidRPr="008C3A17">
              <w:rPr>
                <w:rFonts w:ascii="Arial" w:hAnsi="Arial" w:cs="Arial"/>
                <w:sz w:val="18"/>
                <w:szCs w:val="18"/>
                <w:lang w:val="es-ES"/>
              </w:rPr>
              <w:t xml:space="preserve"> to </w:t>
            </w:r>
            <w:proofErr w:type="spellStart"/>
            <w:r w:rsidR="00733488" w:rsidRPr="008C3A17">
              <w:rPr>
                <w:rFonts w:ascii="Arial" w:hAnsi="Arial" w:cs="Arial"/>
                <w:sz w:val="18"/>
                <w:szCs w:val="18"/>
                <w:lang w:val="es-ES"/>
              </w:rPr>
              <w:t>prevent</w:t>
            </w:r>
            <w:proofErr w:type="spellEnd"/>
            <w:r w:rsidR="00733488" w:rsidRPr="008C3A17">
              <w:rPr>
                <w:rFonts w:ascii="Arial" w:hAnsi="Arial" w:cs="Arial"/>
                <w:sz w:val="18"/>
                <w:szCs w:val="18"/>
                <w:lang w:val="es-ES"/>
              </w:rPr>
              <w:t xml:space="preserve"> </w:t>
            </w:r>
            <w:proofErr w:type="spellStart"/>
            <w:r w:rsidR="00733488" w:rsidRPr="008C3A17">
              <w:rPr>
                <w:rFonts w:ascii="Arial" w:hAnsi="Arial" w:cs="Arial"/>
                <w:sz w:val="18"/>
                <w:szCs w:val="18"/>
                <w:lang w:val="es-ES"/>
              </w:rPr>
              <w:t>immune</w:t>
            </w:r>
            <w:proofErr w:type="spellEnd"/>
            <w:r w:rsidR="00733488" w:rsidRPr="008C3A17">
              <w:rPr>
                <w:rFonts w:ascii="Arial" w:hAnsi="Arial" w:cs="Arial"/>
                <w:sz w:val="18"/>
                <w:szCs w:val="18"/>
                <w:lang w:val="es-ES"/>
              </w:rPr>
              <w:t xml:space="preserve"> escape, Dirección </w:t>
            </w:r>
            <w:proofErr w:type="spellStart"/>
            <w:r w:rsidR="00733488" w:rsidRPr="008C3A17">
              <w:rPr>
                <w:rFonts w:ascii="Arial" w:hAnsi="Arial" w:cs="Arial"/>
                <w:sz w:val="18"/>
                <w:szCs w:val="18"/>
                <w:lang w:val="es-ES"/>
              </w:rPr>
              <w:t>biespecífica</w:t>
            </w:r>
            <w:proofErr w:type="spellEnd"/>
            <w:r w:rsidR="00733488" w:rsidRPr="008C3A17">
              <w:rPr>
                <w:rFonts w:ascii="Arial" w:hAnsi="Arial" w:cs="Arial"/>
                <w:sz w:val="18"/>
                <w:szCs w:val="18"/>
                <w:lang w:val="es-ES"/>
              </w:rPr>
              <w:t xml:space="preserve"> para prevenir el inmuno escape; No  </w:t>
            </w:r>
            <w:proofErr w:type="spellStart"/>
            <w:r w:rsidR="00733488" w:rsidRPr="008C3A17">
              <w:rPr>
                <w:rFonts w:ascii="Arial" w:hAnsi="Arial" w:cs="Arial"/>
                <w:sz w:val="18"/>
                <w:szCs w:val="18"/>
                <w:lang w:val="es-ES"/>
              </w:rPr>
              <w:t>scape</w:t>
            </w:r>
            <w:proofErr w:type="spellEnd"/>
            <w:r w:rsidR="00733488" w:rsidRPr="008C3A17">
              <w:rPr>
                <w:rFonts w:ascii="Arial" w:hAnsi="Arial" w:cs="Arial"/>
                <w:sz w:val="18"/>
                <w:szCs w:val="18"/>
                <w:lang w:val="es-ES"/>
              </w:rPr>
              <w:t>, no escape</w:t>
            </w:r>
          </w:p>
        </w:tc>
      </w:tr>
    </w:tbl>
    <w:p w:rsidR="00F43B6D" w:rsidRDefault="00F43B6D" w:rsidP="00F43B6D">
      <w:pPr>
        <w:autoSpaceDE w:val="0"/>
        <w:autoSpaceDN w:val="0"/>
        <w:adjustRightInd w:val="0"/>
        <w:spacing w:after="0" w:line="360" w:lineRule="auto"/>
        <w:jc w:val="both"/>
        <w:rPr>
          <w:rFonts w:ascii="Arial" w:hAnsi="Arial" w:cs="Arial"/>
          <w:sz w:val="24"/>
          <w:szCs w:val="24"/>
          <w:lang w:val="es-ES"/>
        </w:rPr>
      </w:pPr>
    </w:p>
    <w:p w:rsidR="00C12C99" w:rsidRDefault="00625C1F" w:rsidP="00F43B6D">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t xml:space="preserve">El surgimiento de variantes </w:t>
      </w:r>
      <w:r w:rsidR="008C3A17">
        <w:rPr>
          <w:rFonts w:ascii="Arial" w:hAnsi="Arial" w:cs="Arial"/>
          <w:sz w:val="24"/>
          <w:szCs w:val="24"/>
          <w:lang w:val="es-ES"/>
        </w:rPr>
        <w:t>impulsa la necesidad de desarrollar anticuerpos neutralizantes que se unan a los epítopes que se encuentran bajo presión de selección reducida por la respuesta del anticuerpo humano.  Para es</w:t>
      </w:r>
      <w:r w:rsidR="00DD46D5">
        <w:rPr>
          <w:rFonts w:ascii="Arial" w:hAnsi="Arial" w:cs="Arial"/>
          <w:sz w:val="24"/>
          <w:szCs w:val="24"/>
          <w:lang w:val="es-ES"/>
        </w:rPr>
        <w:t>t</w:t>
      </w:r>
      <w:r w:rsidR="008C3A17">
        <w:rPr>
          <w:rFonts w:ascii="Arial" w:hAnsi="Arial" w:cs="Arial"/>
          <w:sz w:val="24"/>
          <w:szCs w:val="24"/>
          <w:lang w:val="es-ES"/>
        </w:rPr>
        <w:t>o sirven particularmente  los anticuerpos de dominio simple. Con su pequeña dimensión</w:t>
      </w:r>
      <w:r w:rsidR="00DD46D5">
        <w:rPr>
          <w:rFonts w:ascii="Arial" w:hAnsi="Arial" w:cs="Arial"/>
          <w:sz w:val="24"/>
          <w:szCs w:val="24"/>
          <w:lang w:val="es-ES"/>
        </w:rPr>
        <w:t xml:space="preserve">, algunos anticuerpos de dominio simple pueden alcanzar sitios en la espícula que son más difíciles de alcanzar para anticuerpos convencionales. Una vía extra de reducir la posibilidad del escape del virus de la inmunidad es fusionando diferentes VHH en construcciones biparatópicas. </w:t>
      </w:r>
      <w:r w:rsidR="004E5CD4">
        <w:rPr>
          <w:rFonts w:ascii="Arial" w:hAnsi="Arial" w:cs="Arial"/>
          <w:sz w:val="24"/>
          <w:szCs w:val="24"/>
          <w:lang w:val="es-ES"/>
        </w:rPr>
        <w:lastRenderedPageBreak/>
        <w:t xml:space="preserve">Utilizando un virus de estomatitis vesicular recombinante diseñado para </w:t>
      </w:r>
      <w:r w:rsidR="004562B6">
        <w:rPr>
          <w:rFonts w:ascii="Arial" w:hAnsi="Arial" w:cs="Arial"/>
          <w:sz w:val="24"/>
          <w:szCs w:val="24"/>
          <w:lang w:val="es-ES"/>
        </w:rPr>
        <w:t>valerse de</w:t>
      </w:r>
      <w:r w:rsidR="004E5CD4">
        <w:rPr>
          <w:rFonts w:ascii="Arial" w:hAnsi="Arial" w:cs="Arial"/>
          <w:sz w:val="24"/>
          <w:szCs w:val="24"/>
          <w:lang w:val="es-ES"/>
        </w:rPr>
        <w:t xml:space="preserve"> la espícula como entrada de la célula</w:t>
      </w:r>
      <w:r w:rsidR="004562B6">
        <w:rPr>
          <w:rFonts w:ascii="Arial" w:hAnsi="Arial" w:cs="Arial"/>
          <w:sz w:val="24"/>
          <w:szCs w:val="24"/>
          <w:lang w:val="es-ES"/>
        </w:rPr>
        <w:t xml:space="preserve">, aunque es más propenso al error que el SARS-CoV-2 y por tanto evoluciona más rápido in </w:t>
      </w:r>
      <w:r w:rsidR="004562B6" w:rsidRPr="004562B6">
        <w:rPr>
          <w:rFonts w:ascii="Arial" w:hAnsi="Arial" w:cs="Arial"/>
          <w:i/>
          <w:sz w:val="24"/>
          <w:szCs w:val="24"/>
          <w:lang w:val="es-ES"/>
        </w:rPr>
        <w:t>vitro</w:t>
      </w:r>
      <w:r w:rsidR="004562B6">
        <w:rPr>
          <w:rFonts w:ascii="Arial" w:hAnsi="Arial" w:cs="Arial"/>
          <w:sz w:val="24"/>
          <w:szCs w:val="24"/>
          <w:lang w:val="es-ES"/>
        </w:rPr>
        <w:t xml:space="preserve">, </w:t>
      </w:r>
      <w:proofErr w:type="spellStart"/>
      <w:r w:rsidR="004562B6">
        <w:rPr>
          <w:rFonts w:ascii="Arial" w:hAnsi="Arial" w:cs="Arial"/>
          <w:sz w:val="24"/>
          <w:szCs w:val="24"/>
          <w:lang w:val="es-ES"/>
        </w:rPr>
        <w:t>Koenig</w:t>
      </w:r>
      <w:proofErr w:type="spellEnd"/>
      <w:r w:rsidR="004562B6">
        <w:rPr>
          <w:rFonts w:ascii="Arial" w:hAnsi="Arial" w:cs="Arial"/>
          <w:sz w:val="24"/>
          <w:szCs w:val="24"/>
          <w:lang w:val="es-ES"/>
        </w:rPr>
        <w:t xml:space="preserve"> et al mostraron que la repetición conjunta de dos VHH neutralizantes que unen a dos epítopes no coincidentes redujo fuertemente la posibilidad de que los virus mutantes que escapan a la neutralización fueran seleccionados</w:t>
      </w:r>
      <w:r w:rsidR="004E5CD4">
        <w:rPr>
          <w:rFonts w:ascii="Arial" w:hAnsi="Arial" w:cs="Arial"/>
          <w:sz w:val="24"/>
          <w:szCs w:val="24"/>
          <w:lang w:val="es-ES"/>
        </w:rPr>
        <w:t xml:space="preserve"> </w:t>
      </w:r>
      <w:r w:rsidR="004562B6" w:rsidRPr="00481E31">
        <w:rPr>
          <w:rFonts w:ascii="Arial" w:hAnsi="Arial" w:cs="Arial"/>
          <w:i/>
          <w:sz w:val="24"/>
          <w:szCs w:val="24"/>
          <w:lang w:val="es-ES"/>
        </w:rPr>
        <w:t>in vitro</w:t>
      </w:r>
      <w:r w:rsidR="004562B6">
        <w:rPr>
          <w:rFonts w:ascii="Arial" w:hAnsi="Arial" w:cs="Arial"/>
          <w:sz w:val="24"/>
          <w:szCs w:val="24"/>
          <w:lang w:val="es-ES"/>
        </w:rPr>
        <w:t xml:space="preserve"> (vea la figura). </w:t>
      </w:r>
      <w:r w:rsidR="00AE0E1A">
        <w:rPr>
          <w:rFonts w:ascii="Arial" w:hAnsi="Arial" w:cs="Arial"/>
          <w:sz w:val="24"/>
          <w:szCs w:val="24"/>
          <w:lang w:val="es-ES"/>
        </w:rPr>
        <w:t xml:space="preserve">Los anticuerpos de dominio simple base pueden ser producidos  también en sistemas de expresión microbiana robustos y </w:t>
      </w:r>
      <w:r w:rsidR="00F2424B">
        <w:rPr>
          <w:rFonts w:ascii="Arial" w:hAnsi="Arial" w:cs="Arial"/>
          <w:sz w:val="24"/>
          <w:szCs w:val="24"/>
          <w:lang w:val="es-ES"/>
        </w:rPr>
        <w:t xml:space="preserve">económicos que permitan </w:t>
      </w:r>
      <w:r w:rsidR="00AE0E1A">
        <w:rPr>
          <w:rFonts w:ascii="Arial" w:hAnsi="Arial" w:cs="Arial"/>
          <w:sz w:val="24"/>
          <w:szCs w:val="24"/>
          <w:lang w:val="es-ES"/>
        </w:rPr>
        <w:t>producir</w:t>
      </w:r>
      <w:r w:rsidR="00F2424B">
        <w:rPr>
          <w:rFonts w:ascii="Arial" w:hAnsi="Arial" w:cs="Arial"/>
          <w:sz w:val="24"/>
          <w:szCs w:val="24"/>
          <w:lang w:val="es-ES"/>
        </w:rPr>
        <w:t xml:space="preserve"> ciclos de fermentación de mejora rápida, lo que es importante para asegurar el acceso global  a un precio asequible para un producto biológico covid-19.  Debido a que los anticuerpos de dominio simple son distintivamente muy estables, pueden ser nebulizados </w:t>
      </w:r>
      <w:r w:rsidR="008103DA">
        <w:rPr>
          <w:rFonts w:ascii="Arial" w:hAnsi="Arial" w:cs="Arial"/>
          <w:sz w:val="24"/>
          <w:szCs w:val="24"/>
          <w:lang w:val="es-ES"/>
        </w:rPr>
        <w:t xml:space="preserve">para su entrega pulmonar directa. </w:t>
      </w:r>
      <w:r w:rsidR="008103DA" w:rsidRPr="008103DA">
        <w:rPr>
          <w:rFonts w:ascii="Arial" w:hAnsi="Arial" w:cs="Arial"/>
          <w:color w:val="4F81BD" w:themeColor="accent1"/>
          <w:sz w:val="24"/>
          <w:szCs w:val="24"/>
          <w:vertAlign w:val="superscript"/>
          <w:lang w:val="es-ES"/>
        </w:rPr>
        <w:t>5,7,</w:t>
      </w:r>
      <w:r w:rsidR="008103DA">
        <w:rPr>
          <w:rFonts w:ascii="Arial" w:hAnsi="Arial" w:cs="Arial"/>
          <w:color w:val="4F81BD" w:themeColor="accent1"/>
          <w:sz w:val="24"/>
          <w:szCs w:val="24"/>
          <w:vertAlign w:val="superscript"/>
          <w:lang w:val="es-ES"/>
        </w:rPr>
        <w:t xml:space="preserve"> </w:t>
      </w:r>
      <w:r w:rsidR="008103DA" w:rsidRPr="008103DA">
        <w:rPr>
          <w:rFonts w:ascii="Arial" w:hAnsi="Arial" w:cs="Arial"/>
          <w:color w:val="4F81BD" w:themeColor="accent1"/>
          <w:sz w:val="24"/>
          <w:szCs w:val="24"/>
          <w:vertAlign w:val="superscript"/>
          <w:lang w:val="es-ES"/>
        </w:rPr>
        <w:t>9</w:t>
      </w:r>
      <w:r w:rsidR="008103DA" w:rsidRPr="008103DA">
        <w:rPr>
          <w:rFonts w:ascii="Arial" w:hAnsi="Arial" w:cs="Arial"/>
          <w:color w:val="4F81BD" w:themeColor="accent1"/>
          <w:sz w:val="24"/>
          <w:szCs w:val="24"/>
          <w:lang w:val="es-ES"/>
        </w:rPr>
        <w:t xml:space="preserve"> </w:t>
      </w:r>
      <w:r w:rsidR="008103DA" w:rsidRPr="008103DA">
        <w:rPr>
          <w:rFonts w:ascii="Arial" w:hAnsi="Arial" w:cs="Arial"/>
          <w:sz w:val="24"/>
          <w:szCs w:val="24"/>
          <w:lang w:val="es-ES"/>
        </w:rPr>
        <w:t xml:space="preserve">Ahora </w:t>
      </w:r>
      <w:r w:rsidR="008103DA">
        <w:rPr>
          <w:rFonts w:ascii="Arial" w:hAnsi="Arial" w:cs="Arial"/>
          <w:sz w:val="24"/>
          <w:szCs w:val="24"/>
          <w:lang w:val="es-ES"/>
        </w:rPr>
        <w:t>están siendo</w:t>
      </w:r>
      <w:r w:rsidR="008103DA" w:rsidRPr="008103DA">
        <w:rPr>
          <w:rFonts w:ascii="Arial" w:hAnsi="Arial" w:cs="Arial"/>
          <w:sz w:val="24"/>
          <w:szCs w:val="24"/>
          <w:lang w:val="es-ES"/>
        </w:rPr>
        <w:t xml:space="preserve"> explora</w:t>
      </w:r>
      <w:r w:rsidR="008103DA">
        <w:rPr>
          <w:rFonts w:ascii="Arial" w:hAnsi="Arial" w:cs="Arial"/>
          <w:sz w:val="24"/>
          <w:szCs w:val="24"/>
          <w:lang w:val="es-ES"/>
        </w:rPr>
        <w:t>das</w:t>
      </w:r>
      <w:r w:rsidR="008103DA" w:rsidRPr="008103DA">
        <w:rPr>
          <w:rFonts w:ascii="Arial" w:hAnsi="Arial" w:cs="Arial"/>
          <w:sz w:val="24"/>
          <w:szCs w:val="24"/>
          <w:lang w:val="es-ES"/>
        </w:rPr>
        <w:t xml:space="preserve"> </w:t>
      </w:r>
      <w:r w:rsidR="008103DA">
        <w:rPr>
          <w:rFonts w:ascii="Arial" w:hAnsi="Arial" w:cs="Arial"/>
          <w:sz w:val="24"/>
          <w:szCs w:val="24"/>
          <w:lang w:val="es-ES"/>
        </w:rPr>
        <w:t xml:space="preserve">nuevas vías alternativas de administración como inyecciones subcutáneas  y largas medias vidas de los productos biológicos antivirales, debido a que los ensayos clínicos con anticuerpos neutralizantes se están volviendo hacia los pacientes externos e incluso escenarios profilácticos (de prevención) en pacientes de alto riesgo.  </w:t>
      </w:r>
      <w:r w:rsidR="00944677">
        <w:rPr>
          <w:rFonts w:ascii="Arial" w:hAnsi="Arial" w:cs="Arial"/>
          <w:sz w:val="24"/>
          <w:szCs w:val="24"/>
          <w:lang w:val="es-ES"/>
        </w:rPr>
        <w:t xml:space="preserve">El lanzamiento reciente de vacunas covid-19 en muchos países ha instaurado la esperanza de que la pandemia sea  frenada gradualmente. </w:t>
      </w:r>
      <w:r w:rsidR="008103DA">
        <w:rPr>
          <w:rFonts w:ascii="Arial" w:hAnsi="Arial" w:cs="Arial"/>
          <w:sz w:val="24"/>
          <w:szCs w:val="24"/>
          <w:lang w:val="es-ES"/>
        </w:rPr>
        <w:t xml:space="preserve"> </w:t>
      </w:r>
      <w:r w:rsidR="00944677">
        <w:rPr>
          <w:rFonts w:ascii="Arial" w:hAnsi="Arial" w:cs="Arial"/>
          <w:sz w:val="24"/>
          <w:szCs w:val="24"/>
          <w:lang w:val="es-ES"/>
        </w:rPr>
        <w:t xml:space="preserve">Por ahora, sin embargo, la propagación de la covid-19 </w:t>
      </w:r>
      <w:r w:rsidR="008103DA">
        <w:rPr>
          <w:rFonts w:ascii="Arial" w:hAnsi="Arial" w:cs="Arial"/>
          <w:sz w:val="24"/>
          <w:szCs w:val="24"/>
          <w:lang w:val="es-ES"/>
        </w:rPr>
        <w:t xml:space="preserve"> </w:t>
      </w:r>
      <w:r w:rsidR="00944677">
        <w:rPr>
          <w:rFonts w:ascii="Arial" w:hAnsi="Arial" w:cs="Arial"/>
          <w:sz w:val="24"/>
          <w:szCs w:val="24"/>
          <w:lang w:val="es-ES"/>
        </w:rPr>
        <w:t xml:space="preserve">aún no está ralentizándose: </w:t>
      </w:r>
      <w:r w:rsidR="00FA0C30">
        <w:rPr>
          <w:rFonts w:ascii="Arial" w:hAnsi="Arial" w:cs="Arial"/>
          <w:sz w:val="24"/>
          <w:szCs w:val="24"/>
          <w:lang w:val="es-ES"/>
        </w:rPr>
        <w:t xml:space="preserve">globalmente, </w:t>
      </w:r>
      <w:r w:rsidR="00944677">
        <w:rPr>
          <w:rFonts w:ascii="Arial" w:hAnsi="Arial" w:cs="Arial"/>
          <w:sz w:val="24"/>
          <w:szCs w:val="24"/>
          <w:lang w:val="es-ES"/>
        </w:rPr>
        <w:t xml:space="preserve">más de 10 000 pacientes de covid-19 mueren </w:t>
      </w:r>
      <w:r w:rsidR="00FA0C30">
        <w:rPr>
          <w:rFonts w:ascii="Arial" w:hAnsi="Arial" w:cs="Arial"/>
          <w:sz w:val="24"/>
          <w:szCs w:val="24"/>
          <w:lang w:val="es-ES"/>
        </w:rPr>
        <w:t>cada día, y muchísimos más demandan ingreso hospitalario. Por tanto, existe una necesidad urgente de medicamentos antivirales, como los anticuerpos de dominio simple neutralizantes, que puedan prevenir o reducir la replicación del SARS-CoV-2 en los pacientes expuestos con la enfermedad progresiva. Esta necesidad probablemente persista incluso después del uso  extendido de vacunas covid-19</w:t>
      </w:r>
      <w:r w:rsidR="00274FD2">
        <w:rPr>
          <w:rFonts w:ascii="Arial" w:hAnsi="Arial" w:cs="Arial"/>
          <w:sz w:val="24"/>
          <w:szCs w:val="24"/>
          <w:lang w:val="es-ES"/>
        </w:rPr>
        <w:t>,</w:t>
      </w:r>
      <w:r w:rsidR="00FA0C30">
        <w:rPr>
          <w:rFonts w:ascii="Arial" w:hAnsi="Arial" w:cs="Arial"/>
          <w:sz w:val="24"/>
          <w:szCs w:val="24"/>
          <w:lang w:val="es-ES"/>
        </w:rPr>
        <w:t xml:space="preserve"> para tratar a aquellos a los que la vacuna no les proteja, no la hayan usado o no la hayan tenido disponible</w:t>
      </w:r>
      <w:r w:rsidR="006E31EF">
        <w:rPr>
          <w:rFonts w:ascii="Arial" w:hAnsi="Arial" w:cs="Arial"/>
          <w:sz w:val="24"/>
          <w:szCs w:val="24"/>
          <w:lang w:val="es-ES"/>
        </w:rPr>
        <w:t xml:space="preserve">, o, en un escenario aún más alarmante, para proveer </w:t>
      </w:r>
      <w:r w:rsidR="00FA0C30">
        <w:rPr>
          <w:rFonts w:ascii="Arial" w:hAnsi="Arial" w:cs="Arial"/>
          <w:sz w:val="24"/>
          <w:szCs w:val="24"/>
          <w:lang w:val="es-ES"/>
        </w:rPr>
        <w:t xml:space="preserve"> </w:t>
      </w:r>
      <w:r w:rsidR="006E31EF">
        <w:rPr>
          <w:rFonts w:ascii="Arial" w:hAnsi="Arial" w:cs="Arial"/>
          <w:sz w:val="24"/>
          <w:szCs w:val="24"/>
          <w:lang w:val="es-ES"/>
        </w:rPr>
        <w:t xml:space="preserve">un tratamiento si surgen mutantes de escape a la vacuna. </w:t>
      </w:r>
      <w:r w:rsidR="00FA0C30">
        <w:rPr>
          <w:rFonts w:ascii="Arial" w:hAnsi="Arial" w:cs="Arial"/>
          <w:sz w:val="24"/>
          <w:szCs w:val="24"/>
          <w:lang w:val="es-ES"/>
        </w:rPr>
        <w:t xml:space="preserve"> </w:t>
      </w:r>
      <w:r w:rsidR="00274FD2">
        <w:rPr>
          <w:rFonts w:ascii="Arial" w:hAnsi="Arial" w:cs="Arial"/>
          <w:sz w:val="24"/>
          <w:szCs w:val="24"/>
          <w:lang w:val="es-ES"/>
        </w:rPr>
        <w:t>Quizá, en el futuro</w:t>
      </w:r>
      <w:r w:rsidR="00C12C99">
        <w:rPr>
          <w:rFonts w:ascii="Arial" w:hAnsi="Arial" w:cs="Arial"/>
          <w:sz w:val="24"/>
          <w:szCs w:val="24"/>
          <w:lang w:val="es-ES"/>
        </w:rPr>
        <w:t xml:space="preserve">, el resultado de una prueba rápida de SARS-CoV-2 positiva </w:t>
      </w:r>
      <w:r w:rsidR="00FA0C30">
        <w:rPr>
          <w:rFonts w:ascii="Arial" w:hAnsi="Arial" w:cs="Arial"/>
          <w:sz w:val="24"/>
          <w:szCs w:val="24"/>
          <w:lang w:val="es-ES"/>
        </w:rPr>
        <w:t xml:space="preserve"> </w:t>
      </w:r>
      <w:r w:rsidR="00C12C99">
        <w:rPr>
          <w:rFonts w:ascii="Arial" w:hAnsi="Arial" w:cs="Arial"/>
          <w:sz w:val="24"/>
          <w:szCs w:val="24"/>
          <w:lang w:val="es-ES"/>
        </w:rPr>
        <w:t>vaya de la mano con una inyección subcutánea asequible y de fácil administración o una inhalación nebulizada de un  anticuerpo dirigido a epítopes altamente conservados no reconocidos por el sistema inmune humano.</w:t>
      </w:r>
    </w:p>
    <w:p w:rsidR="00C12C99" w:rsidRDefault="00C12C99" w:rsidP="00F43B6D">
      <w:pPr>
        <w:autoSpaceDE w:val="0"/>
        <w:autoSpaceDN w:val="0"/>
        <w:adjustRightInd w:val="0"/>
        <w:spacing w:after="0" w:line="360" w:lineRule="auto"/>
        <w:jc w:val="both"/>
        <w:rPr>
          <w:rFonts w:ascii="Arial" w:hAnsi="Arial" w:cs="Arial"/>
          <w:sz w:val="24"/>
          <w:szCs w:val="24"/>
          <w:lang w:val="es-ES"/>
        </w:rPr>
      </w:pPr>
    </w:p>
    <w:p w:rsidR="00733488" w:rsidRPr="00733488" w:rsidRDefault="00C12C99" w:rsidP="00F43B6D">
      <w:pPr>
        <w:autoSpaceDE w:val="0"/>
        <w:autoSpaceDN w:val="0"/>
        <w:adjustRightInd w:val="0"/>
        <w:spacing w:after="0" w:line="360" w:lineRule="auto"/>
        <w:jc w:val="both"/>
        <w:rPr>
          <w:rFonts w:ascii="Arial" w:hAnsi="Arial" w:cs="Arial"/>
          <w:sz w:val="24"/>
          <w:szCs w:val="24"/>
          <w:lang w:val="es-ES"/>
        </w:rPr>
      </w:pPr>
      <w:r>
        <w:rPr>
          <w:rFonts w:ascii="Arial" w:hAnsi="Arial" w:cs="Arial"/>
          <w:sz w:val="24"/>
          <w:szCs w:val="24"/>
          <w:lang w:val="es-ES"/>
        </w:rPr>
        <w:lastRenderedPageBreak/>
        <w:t>Referencias y notas</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1. S. J. </w:t>
      </w:r>
      <w:proofErr w:type="spellStart"/>
      <w:r w:rsidRPr="00C12C99">
        <w:rPr>
          <w:rFonts w:ascii="Arial" w:hAnsi="Arial" w:cs="Arial"/>
          <w:color w:val="000000"/>
          <w:sz w:val="20"/>
          <w:szCs w:val="20"/>
        </w:rPr>
        <w:t>Zost</w:t>
      </w:r>
      <w:proofErr w:type="spellEnd"/>
      <w:r w:rsidRPr="00C12C99">
        <w:rPr>
          <w:rFonts w:ascii="Arial" w:hAnsi="Arial" w:cs="Arial"/>
          <w:color w:val="000000"/>
          <w:sz w:val="20"/>
          <w:szCs w:val="20"/>
        </w:rPr>
        <w:t xml:space="preserve">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Nature </w:t>
      </w:r>
      <w:r w:rsidRPr="00C12C99">
        <w:rPr>
          <w:rFonts w:ascii="Arial" w:hAnsi="Arial" w:cs="Arial"/>
          <w:color w:val="000000"/>
          <w:sz w:val="20"/>
          <w:szCs w:val="20"/>
        </w:rPr>
        <w:t>584, 443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2. P.-A. Koenig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Science </w:t>
      </w:r>
      <w:r w:rsidRPr="00C12C99">
        <w:rPr>
          <w:rFonts w:ascii="Arial" w:hAnsi="Arial" w:cs="Arial"/>
          <w:color w:val="000000"/>
          <w:sz w:val="20"/>
          <w:szCs w:val="20"/>
        </w:rPr>
        <w:t>371, eabe6230 (2021).</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3. C. </w:t>
      </w:r>
      <w:proofErr w:type="spellStart"/>
      <w:r w:rsidRPr="00C12C99">
        <w:rPr>
          <w:rFonts w:ascii="Arial" w:hAnsi="Arial" w:cs="Arial"/>
          <w:color w:val="000000"/>
          <w:sz w:val="20"/>
          <w:szCs w:val="20"/>
        </w:rPr>
        <w:t>Hamers-Casterman</w:t>
      </w:r>
      <w:proofErr w:type="spellEnd"/>
      <w:r w:rsidRPr="00C12C99">
        <w:rPr>
          <w:rFonts w:ascii="Arial" w:hAnsi="Arial" w:cs="Arial"/>
          <w:color w:val="000000"/>
          <w:sz w:val="20"/>
          <w:szCs w:val="20"/>
        </w:rPr>
        <w:t xml:space="preserve">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Nature </w:t>
      </w:r>
      <w:r w:rsidRPr="00C12C99">
        <w:rPr>
          <w:rFonts w:ascii="Arial" w:hAnsi="Arial" w:cs="Arial"/>
          <w:color w:val="000000"/>
          <w:sz w:val="20"/>
          <w:szCs w:val="20"/>
        </w:rPr>
        <w:t>363, 446 (1993).</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4. Y. </w:t>
      </w:r>
      <w:proofErr w:type="spellStart"/>
      <w:proofErr w:type="gramStart"/>
      <w:r w:rsidRPr="00C12C99">
        <w:rPr>
          <w:rFonts w:ascii="Arial" w:hAnsi="Arial" w:cs="Arial"/>
          <w:color w:val="000000"/>
          <w:sz w:val="20"/>
          <w:szCs w:val="20"/>
        </w:rPr>
        <w:t>Cai</w:t>
      </w:r>
      <w:proofErr w:type="spellEnd"/>
      <w:r w:rsidRPr="00C12C99">
        <w:rPr>
          <w:rFonts w:ascii="Arial" w:hAnsi="Arial" w:cs="Arial"/>
          <w:color w:val="000000"/>
          <w:sz w:val="20"/>
          <w:szCs w:val="20"/>
        </w:rPr>
        <w:t xml:space="preserve"> </w:t>
      </w:r>
      <w:r w:rsidRPr="00C12C99">
        <w:rPr>
          <w:rFonts w:ascii="Arial" w:hAnsi="Arial" w:cs="Arial"/>
          <w:i/>
          <w:iCs/>
          <w:color w:val="000000"/>
          <w:sz w:val="20"/>
          <w:szCs w:val="20"/>
        </w:rPr>
        <w:t>et al</w:t>
      </w:r>
      <w:proofErr w:type="gramEnd"/>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Science </w:t>
      </w:r>
      <w:r w:rsidRPr="00C12C99">
        <w:rPr>
          <w:rFonts w:ascii="Arial" w:hAnsi="Arial" w:cs="Arial"/>
          <w:color w:val="000000"/>
          <w:sz w:val="20"/>
          <w:szCs w:val="20"/>
        </w:rPr>
        <w:t>369, 1586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5. Y. Xiang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Science </w:t>
      </w:r>
      <w:r w:rsidRPr="00C12C99">
        <w:rPr>
          <w:rFonts w:ascii="Arial" w:hAnsi="Arial" w:cs="Arial"/>
          <w:color w:val="000000"/>
          <w:sz w:val="20"/>
          <w:szCs w:val="20"/>
        </w:rPr>
        <w:t>370, 1479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6. L. </w:t>
      </w:r>
      <w:proofErr w:type="spellStart"/>
      <w:r w:rsidRPr="00C12C99">
        <w:rPr>
          <w:rFonts w:ascii="Arial" w:hAnsi="Arial" w:cs="Arial"/>
          <w:color w:val="000000"/>
          <w:sz w:val="20"/>
          <w:szCs w:val="20"/>
        </w:rPr>
        <w:t>Hanke</w:t>
      </w:r>
      <w:proofErr w:type="spellEnd"/>
      <w:r w:rsidRPr="00C12C99">
        <w:rPr>
          <w:rFonts w:ascii="Arial" w:hAnsi="Arial" w:cs="Arial"/>
          <w:color w:val="000000"/>
          <w:sz w:val="20"/>
          <w:szCs w:val="20"/>
        </w:rPr>
        <w:t xml:space="preserve">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Nat. </w:t>
      </w:r>
      <w:proofErr w:type="spellStart"/>
      <w:r w:rsidRPr="00C12C99">
        <w:rPr>
          <w:rFonts w:ascii="Arial" w:hAnsi="Arial" w:cs="Arial"/>
          <w:i/>
          <w:iCs/>
          <w:color w:val="000000"/>
          <w:sz w:val="20"/>
          <w:szCs w:val="20"/>
        </w:rPr>
        <w:t>Commun</w:t>
      </w:r>
      <w:proofErr w:type="spellEnd"/>
      <w:r w:rsidRPr="00C12C99">
        <w:rPr>
          <w:rFonts w:ascii="Arial" w:hAnsi="Arial" w:cs="Arial"/>
          <w:color w:val="000000"/>
          <w:sz w:val="20"/>
          <w:szCs w:val="20"/>
        </w:rPr>
        <w:t>. 11, 4420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7. T. J. Esparza, N. P. Martin, G. P. Anderson, E. R. Goldman,</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D. L. Brody, </w:t>
      </w:r>
      <w:r w:rsidRPr="00C12C99">
        <w:rPr>
          <w:rFonts w:ascii="Arial" w:hAnsi="Arial" w:cs="Arial"/>
          <w:i/>
          <w:iCs/>
          <w:color w:val="000000"/>
          <w:sz w:val="20"/>
          <w:szCs w:val="20"/>
        </w:rPr>
        <w:t>Sci. Rep</w:t>
      </w:r>
      <w:r w:rsidRPr="00C12C99">
        <w:rPr>
          <w:rFonts w:ascii="Arial" w:hAnsi="Arial" w:cs="Arial"/>
          <w:color w:val="000000"/>
          <w:sz w:val="20"/>
          <w:szCs w:val="20"/>
        </w:rPr>
        <w:t>. 10, 22370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8. D. </w:t>
      </w:r>
      <w:proofErr w:type="spellStart"/>
      <w:r w:rsidRPr="00C12C99">
        <w:rPr>
          <w:rFonts w:ascii="Arial" w:hAnsi="Arial" w:cs="Arial"/>
          <w:color w:val="000000"/>
          <w:sz w:val="20"/>
          <w:szCs w:val="20"/>
        </w:rPr>
        <w:t>Wrapp</w:t>
      </w:r>
      <w:proofErr w:type="spellEnd"/>
      <w:r w:rsidRPr="00C12C99">
        <w:rPr>
          <w:rFonts w:ascii="Arial" w:hAnsi="Arial" w:cs="Arial"/>
          <w:color w:val="000000"/>
          <w:sz w:val="20"/>
          <w:szCs w:val="20"/>
        </w:rPr>
        <w:t xml:space="preserve">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Cell </w:t>
      </w:r>
      <w:r w:rsidRPr="00C12C99">
        <w:rPr>
          <w:rFonts w:ascii="Arial" w:hAnsi="Arial" w:cs="Arial"/>
          <w:color w:val="000000"/>
          <w:sz w:val="20"/>
          <w:szCs w:val="20"/>
        </w:rPr>
        <w:t>181, 1004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9. M. </w:t>
      </w:r>
      <w:proofErr w:type="spellStart"/>
      <w:r w:rsidRPr="00C12C99">
        <w:rPr>
          <w:rFonts w:ascii="Arial" w:hAnsi="Arial" w:cs="Arial"/>
          <w:color w:val="000000"/>
          <w:sz w:val="20"/>
          <w:szCs w:val="20"/>
        </w:rPr>
        <w:t>Schoof</w:t>
      </w:r>
      <w:proofErr w:type="spellEnd"/>
      <w:r w:rsidRPr="00C12C99">
        <w:rPr>
          <w:rFonts w:ascii="Arial" w:hAnsi="Arial" w:cs="Arial"/>
          <w:color w:val="000000"/>
          <w:sz w:val="20"/>
          <w:szCs w:val="20"/>
        </w:rPr>
        <w:t xml:space="preserve">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Science </w:t>
      </w:r>
      <w:r w:rsidRPr="00C12C99">
        <w:rPr>
          <w:rFonts w:ascii="Arial" w:hAnsi="Arial" w:cs="Arial"/>
          <w:color w:val="000000"/>
          <w:sz w:val="20"/>
          <w:szCs w:val="20"/>
        </w:rPr>
        <w:t>370, 1473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10. W. Li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Cell </w:t>
      </w:r>
      <w:r w:rsidRPr="00C12C99">
        <w:rPr>
          <w:rFonts w:ascii="Arial" w:hAnsi="Arial" w:cs="Arial"/>
          <w:color w:val="000000"/>
          <w:sz w:val="20"/>
          <w:szCs w:val="20"/>
        </w:rPr>
        <w:t>183, 429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lang w:val="es-ES"/>
        </w:rPr>
        <w:t xml:space="preserve">11. J. </w:t>
      </w:r>
      <w:proofErr w:type="spellStart"/>
      <w:r w:rsidRPr="00C12C99">
        <w:rPr>
          <w:rFonts w:ascii="Arial" w:hAnsi="Arial" w:cs="Arial"/>
          <w:color w:val="000000"/>
          <w:sz w:val="20"/>
          <w:szCs w:val="20"/>
          <w:lang w:val="es-ES"/>
        </w:rPr>
        <w:t>Huo</w:t>
      </w:r>
      <w:proofErr w:type="spellEnd"/>
      <w:r w:rsidRPr="00C12C99">
        <w:rPr>
          <w:rFonts w:ascii="Arial" w:hAnsi="Arial" w:cs="Arial"/>
          <w:color w:val="000000"/>
          <w:sz w:val="20"/>
          <w:szCs w:val="20"/>
          <w:lang w:val="es-ES"/>
        </w:rPr>
        <w:t xml:space="preserve"> </w:t>
      </w:r>
      <w:r w:rsidRPr="00C12C99">
        <w:rPr>
          <w:rFonts w:ascii="Arial" w:hAnsi="Arial" w:cs="Arial"/>
          <w:i/>
          <w:iCs/>
          <w:color w:val="000000"/>
          <w:sz w:val="20"/>
          <w:szCs w:val="20"/>
          <w:lang w:val="es-ES"/>
        </w:rPr>
        <w:t>et al</w:t>
      </w:r>
      <w:r w:rsidRPr="00C12C99">
        <w:rPr>
          <w:rFonts w:ascii="Arial" w:hAnsi="Arial" w:cs="Arial"/>
          <w:color w:val="000000"/>
          <w:sz w:val="20"/>
          <w:szCs w:val="20"/>
          <w:lang w:val="es-ES"/>
        </w:rPr>
        <w:t xml:space="preserve">., </w:t>
      </w:r>
      <w:proofErr w:type="spellStart"/>
      <w:r w:rsidRPr="00C12C99">
        <w:rPr>
          <w:rFonts w:ascii="Arial" w:hAnsi="Arial" w:cs="Arial"/>
          <w:i/>
          <w:iCs/>
          <w:color w:val="000000"/>
          <w:sz w:val="20"/>
          <w:szCs w:val="20"/>
          <w:lang w:val="es-ES"/>
        </w:rPr>
        <w:t>Nat</w:t>
      </w:r>
      <w:proofErr w:type="spellEnd"/>
      <w:r w:rsidRPr="00C12C99">
        <w:rPr>
          <w:rFonts w:ascii="Arial" w:hAnsi="Arial" w:cs="Arial"/>
          <w:i/>
          <w:iCs/>
          <w:color w:val="000000"/>
          <w:sz w:val="20"/>
          <w:szCs w:val="20"/>
          <w:lang w:val="es-ES"/>
        </w:rPr>
        <w:t xml:space="preserve">. </w:t>
      </w:r>
      <w:proofErr w:type="spellStart"/>
      <w:r w:rsidRPr="00C12C99">
        <w:rPr>
          <w:rFonts w:ascii="Arial" w:hAnsi="Arial" w:cs="Arial"/>
          <w:i/>
          <w:iCs/>
          <w:color w:val="000000"/>
          <w:sz w:val="20"/>
          <w:szCs w:val="20"/>
        </w:rPr>
        <w:t>Struct</w:t>
      </w:r>
      <w:proofErr w:type="spellEnd"/>
      <w:r w:rsidRPr="00C12C99">
        <w:rPr>
          <w:rFonts w:ascii="Arial" w:hAnsi="Arial" w:cs="Arial"/>
          <w:i/>
          <w:iCs/>
          <w:color w:val="000000"/>
          <w:sz w:val="20"/>
          <w:szCs w:val="20"/>
        </w:rPr>
        <w:t>. Mol. Biol</w:t>
      </w:r>
      <w:r w:rsidRPr="00C12C99">
        <w:rPr>
          <w:rFonts w:ascii="Arial" w:hAnsi="Arial" w:cs="Arial"/>
          <w:color w:val="000000"/>
          <w:sz w:val="20"/>
          <w:szCs w:val="20"/>
        </w:rPr>
        <w:t>. 27, 846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12. T. F. </w:t>
      </w:r>
      <w:proofErr w:type="spellStart"/>
      <w:r w:rsidRPr="00C12C99">
        <w:rPr>
          <w:rFonts w:ascii="Arial" w:hAnsi="Arial" w:cs="Arial"/>
          <w:color w:val="000000"/>
          <w:sz w:val="20"/>
          <w:szCs w:val="20"/>
        </w:rPr>
        <w:t>Custódio</w:t>
      </w:r>
      <w:proofErr w:type="spellEnd"/>
      <w:r w:rsidRPr="00C12C99">
        <w:rPr>
          <w:rFonts w:ascii="Arial" w:hAnsi="Arial" w:cs="Arial"/>
          <w:color w:val="000000"/>
          <w:sz w:val="20"/>
          <w:szCs w:val="20"/>
        </w:rPr>
        <w:t xml:space="preserve">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 xml:space="preserve">Nat. </w:t>
      </w:r>
      <w:proofErr w:type="spellStart"/>
      <w:r w:rsidRPr="00C12C99">
        <w:rPr>
          <w:rFonts w:ascii="Arial" w:hAnsi="Arial" w:cs="Arial"/>
          <w:i/>
          <w:iCs/>
          <w:color w:val="000000"/>
          <w:sz w:val="20"/>
          <w:szCs w:val="20"/>
        </w:rPr>
        <w:t>Commun</w:t>
      </w:r>
      <w:proofErr w:type="spellEnd"/>
      <w:r w:rsidRPr="00C12C99">
        <w:rPr>
          <w:rFonts w:ascii="Arial" w:hAnsi="Arial" w:cs="Arial"/>
          <w:color w:val="000000"/>
          <w:sz w:val="20"/>
          <w:szCs w:val="20"/>
        </w:rPr>
        <w:t>. 11, 5588 (2020).</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13. D. M. </w:t>
      </w:r>
      <w:proofErr w:type="spellStart"/>
      <w:r w:rsidRPr="00C12C99">
        <w:rPr>
          <w:rFonts w:ascii="Arial" w:hAnsi="Arial" w:cs="Arial"/>
          <w:color w:val="000000"/>
          <w:sz w:val="20"/>
          <w:szCs w:val="20"/>
        </w:rPr>
        <w:t>Weinreich</w:t>
      </w:r>
      <w:proofErr w:type="spellEnd"/>
      <w:r w:rsidRPr="00C12C99">
        <w:rPr>
          <w:rFonts w:ascii="Arial" w:hAnsi="Arial" w:cs="Arial"/>
          <w:color w:val="000000"/>
          <w:sz w:val="20"/>
          <w:szCs w:val="20"/>
        </w:rPr>
        <w:t xml:space="preserve">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N. Engl. J. Med</w:t>
      </w:r>
      <w:r w:rsidRPr="00C12C99">
        <w:rPr>
          <w:rFonts w:ascii="Arial" w:hAnsi="Arial" w:cs="Arial"/>
          <w:color w:val="000000"/>
          <w:sz w:val="20"/>
          <w:szCs w:val="20"/>
        </w:rPr>
        <w:t>. 384, 238 (2021).</w:t>
      </w:r>
    </w:p>
    <w:p w:rsidR="00F43B6D" w:rsidRPr="00C12C99" w:rsidRDefault="00F43B6D" w:rsidP="00C12C99">
      <w:pPr>
        <w:autoSpaceDE w:val="0"/>
        <w:autoSpaceDN w:val="0"/>
        <w:adjustRightInd w:val="0"/>
        <w:spacing w:after="0"/>
        <w:jc w:val="both"/>
        <w:rPr>
          <w:rFonts w:ascii="Arial" w:hAnsi="Arial" w:cs="Arial"/>
          <w:color w:val="000000"/>
          <w:sz w:val="20"/>
          <w:szCs w:val="20"/>
        </w:rPr>
      </w:pPr>
      <w:r w:rsidRPr="00C12C99">
        <w:rPr>
          <w:rFonts w:ascii="Arial" w:hAnsi="Arial" w:cs="Arial"/>
          <w:color w:val="000000"/>
          <w:sz w:val="20"/>
          <w:szCs w:val="20"/>
        </w:rPr>
        <w:t xml:space="preserve">14. P. Chen </w:t>
      </w:r>
      <w:r w:rsidRPr="00C12C99">
        <w:rPr>
          <w:rFonts w:ascii="Arial" w:hAnsi="Arial" w:cs="Arial"/>
          <w:i/>
          <w:iCs/>
          <w:color w:val="000000"/>
          <w:sz w:val="20"/>
          <w:szCs w:val="20"/>
        </w:rPr>
        <w:t>et al</w:t>
      </w:r>
      <w:r w:rsidRPr="00C12C99">
        <w:rPr>
          <w:rFonts w:ascii="Arial" w:hAnsi="Arial" w:cs="Arial"/>
          <w:color w:val="000000"/>
          <w:sz w:val="20"/>
          <w:szCs w:val="20"/>
        </w:rPr>
        <w:t xml:space="preserve">., </w:t>
      </w:r>
      <w:r w:rsidRPr="00C12C99">
        <w:rPr>
          <w:rFonts w:ascii="Arial" w:hAnsi="Arial" w:cs="Arial"/>
          <w:i/>
          <w:iCs/>
          <w:color w:val="000000"/>
          <w:sz w:val="20"/>
          <w:szCs w:val="20"/>
        </w:rPr>
        <w:t>N. Engl. J. Med</w:t>
      </w:r>
      <w:r w:rsidRPr="00C12C99">
        <w:rPr>
          <w:rFonts w:ascii="Arial" w:hAnsi="Arial" w:cs="Arial"/>
          <w:color w:val="000000"/>
          <w:sz w:val="20"/>
          <w:szCs w:val="20"/>
        </w:rPr>
        <w:t>. 384, 229 (2021).</w:t>
      </w:r>
    </w:p>
    <w:p w:rsidR="00F43B6D" w:rsidRPr="000F78F2" w:rsidRDefault="00F43B6D" w:rsidP="00C12C99">
      <w:pPr>
        <w:autoSpaceDE w:val="0"/>
        <w:autoSpaceDN w:val="0"/>
        <w:adjustRightInd w:val="0"/>
        <w:spacing w:after="0"/>
        <w:jc w:val="both"/>
        <w:rPr>
          <w:rFonts w:ascii="Arial" w:hAnsi="Arial" w:cs="Arial"/>
          <w:color w:val="000000"/>
          <w:sz w:val="20"/>
          <w:szCs w:val="20"/>
          <w:lang w:val="es-ES"/>
        </w:rPr>
      </w:pPr>
      <w:r w:rsidRPr="00C12C99">
        <w:rPr>
          <w:rFonts w:ascii="Arial" w:hAnsi="Arial" w:cs="Arial"/>
          <w:color w:val="000000"/>
          <w:sz w:val="20"/>
          <w:szCs w:val="20"/>
        </w:rPr>
        <w:t xml:space="preserve">15. K. Leung, M. H. Shum, G. M. Leung, T. T. Lam, J. T. Wu, </w:t>
      </w:r>
      <w:r w:rsidRPr="00C12C99">
        <w:rPr>
          <w:rFonts w:ascii="Arial" w:hAnsi="Arial" w:cs="Arial"/>
          <w:i/>
          <w:iCs/>
          <w:color w:val="000000"/>
          <w:sz w:val="20"/>
          <w:szCs w:val="20"/>
        </w:rPr>
        <w:t>Euro</w:t>
      </w:r>
      <w:r w:rsidR="00C12C99">
        <w:rPr>
          <w:rFonts w:ascii="Arial" w:hAnsi="Arial" w:cs="Arial"/>
          <w:i/>
          <w:iCs/>
          <w:color w:val="000000"/>
          <w:sz w:val="20"/>
          <w:szCs w:val="20"/>
        </w:rPr>
        <w:t xml:space="preserve"> </w:t>
      </w:r>
      <w:proofErr w:type="spellStart"/>
      <w:r w:rsidRPr="00C12C99">
        <w:rPr>
          <w:rFonts w:ascii="Arial" w:hAnsi="Arial" w:cs="Arial"/>
          <w:i/>
          <w:iCs/>
          <w:color w:val="000000"/>
          <w:sz w:val="20"/>
          <w:szCs w:val="20"/>
        </w:rPr>
        <w:t>Surveill</w:t>
      </w:r>
      <w:proofErr w:type="spellEnd"/>
      <w:r w:rsidRPr="00C12C99">
        <w:rPr>
          <w:rFonts w:ascii="Arial" w:hAnsi="Arial" w:cs="Arial"/>
          <w:color w:val="000000"/>
          <w:sz w:val="20"/>
          <w:szCs w:val="20"/>
        </w:rPr>
        <w:t xml:space="preserve">. </w:t>
      </w:r>
      <w:r w:rsidRPr="000F78F2">
        <w:rPr>
          <w:rFonts w:ascii="Arial" w:hAnsi="Arial" w:cs="Arial"/>
          <w:color w:val="000000"/>
          <w:sz w:val="20"/>
          <w:szCs w:val="20"/>
          <w:lang w:val="es-ES"/>
        </w:rPr>
        <w:t>26, 2002106 (2021).</w:t>
      </w:r>
    </w:p>
    <w:p w:rsidR="00C12C99" w:rsidRPr="000F78F2" w:rsidRDefault="00C12C99" w:rsidP="00C12C99">
      <w:pPr>
        <w:autoSpaceDE w:val="0"/>
        <w:autoSpaceDN w:val="0"/>
        <w:adjustRightInd w:val="0"/>
        <w:spacing w:after="0"/>
        <w:jc w:val="both"/>
        <w:rPr>
          <w:rFonts w:ascii="Arial" w:hAnsi="Arial" w:cs="Arial"/>
          <w:color w:val="000000"/>
          <w:sz w:val="20"/>
          <w:szCs w:val="20"/>
          <w:lang w:val="es-ES"/>
        </w:rPr>
      </w:pPr>
    </w:p>
    <w:p w:rsidR="00C12C99" w:rsidRPr="000F78F2" w:rsidRDefault="000F69C2" w:rsidP="000F69C2">
      <w:pPr>
        <w:autoSpaceDE w:val="0"/>
        <w:autoSpaceDN w:val="0"/>
        <w:adjustRightInd w:val="0"/>
        <w:spacing w:after="0" w:line="360" w:lineRule="auto"/>
        <w:jc w:val="both"/>
        <w:rPr>
          <w:rFonts w:ascii="Arial" w:hAnsi="Arial" w:cs="Arial"/>
          <w:color w:val="000000"/>
          <w:sz w:val="24"/>
          <w:szCs w:val="24"/>
          <w:lang w:val="es-ES"/>
        </w:rPr>
      </w:pPr>
      <w:r w:rsidRPr="000F78F2">
        <w:rPr>
          <w:rFonts w:ascii="Arial" w:hAnsi="Arial" w:cs="Arial"/>
          <w:color w:val="000000"/>
          <w:sz w:val="24"/>
          <w:szCs w:val="24"/>
          <w:lang w:val="es-ES"/>
        </w:rPr>
        <w:t>Reconocimientos</w:t>
      </w:r>
    </w:p>
    <w:p w:rsidR="00F43B6D" w:rsidRDefault="000F69C2" w:rsidP="000F69C2">
      <w:pPr>
        <w:autoSpaceDE w:val="0"/>
        <w:autoSpaceDN w:val="0"/>
        <w:adjustRightInd w:val="0"/>
        <w:spacing w:after="0" w:line="360" w:lineRule="auto"/>
        <w:jc w:val="both"/>
        <w:rPr>
          <w:rFonts w:ascii="Arial" w:hAnsi="Arial" w:cs="Arial"/>
          <w:color w:val="000000"/>
          <w:sz w:val="20"/>
          <w:szCs w:val="20"/>
          <w:lang w:val="es-ES"/>
        </w:rPr>
      </w:pPr>
      <w:r w:rsidRPr="000F69C2">
        <w:rPr>
          <w:rFonts w:ascii="Arial" w:hAnsi="Arial" w:cs="Arial"/>
          <w:color w:val="000000"/>
          <w:sz w:val="20"/>
          <w:szCs w:val="20"/>
          <w:lang w:val="es-ES"/>
        </w:rPr>
        <w:t xml:space="preserve">Se agradece a N. </w:t>
      </w:r>
      <w:proofErr w:type="spellStart"/>
      <w:r w:rsidRPr="000F69C2">
        <w:rPr>
          <w:rFonts w:ascii="Arial" w:hAnsi="Arial" w:cs="Arial"/>
          <w:color w:val="000000"/>
          <w:sz w:val="20"/>
          <w:szCs w:val="20"/>
          <w:lang w:val="es-ES"/>
        </w:rPr>
        <w:t>Callewaert</w:t>
      </w:r>
      <w:proofErr w:type="spellEnd"/>
      <w:r w:rsidRPr="000F69C2">
        <w:rPr>
          <w:rFonts w:ascii="Arial" w:hAnsi="Arial" w:cs="Arial"/>
          <w:color w:val="000000"/>
          <w:sz w:val="20"/>
          <w:szCs w:val="20"/>
          <w:lang w:val="es-ES"/>
        </w:rPr>
        <w:t xml:space="preserve"> por las </w:t>
      </w:r>
      <w:r>
        <w:rPr>
          <w:rFonts w:ascii="Arial" w:hAnsi="Arial" w:cs="Arial"/>
          <w:color w:val="000000"/>
          <w:sz w:val="20"/>
          <w:szCs w:val="20"/>
          <w:lang w:val="es-ES"/>
        </w:rPr>
        <w:t xml:space="preserve">fructíferas </w:t>
      </w:r>
      <w:r w:rsidRPr="000F69C2">
        <w:rPr>
          <w:rFonts w:ascii="Arial" w:hAnsi="Arial" w:cs="Arial"/>
          <w:color w:val="000000"/>
          <w:sz w:val="20"/>
          <w:szCs w:val="20"/>
          <w:lang w:val="es-ES"/>
        </w:rPr>
        <w:t>discusiones</w:t>
      </w:r>
      <w:r>
        <w:rPr>
          <w:rFonts w:ascii="Arial" w:hAnsi="Arial" w:cs="Arial"/>
          <w:color w:val="000000"/>
          <w:sz w:val="20"/>
          <w:szCs w:val="20"/>
          <w:lang w:val="es-ES"/>
        </w:rPr>
        <w:t xml:space="preserve">. Los autores son conocidos como inventores sobre aplicaciones de patentes para el uso de anticuerpo  de dominio simple para la prevención y el tratamiento de enfermedades virales infecciosas, incluyendo la enfermedad causada por el SARS-CoV-2.  </w:t>
      </w:r>
    </w:p>
    <w:p w:rsidR="000F69C2" w:rsidRDefault="000F69C2" w:rsidP="000F69C2">
      <w:pPr>
        <w:autoSpaceDE w:val="0"/>
        <w:autoSpaceDN w:val="0"/>
        <w:adjustRightInd w:val="0"/>
        <w:spacing w:after="0" w:line="360" w:lineRule="auto"/>
        <w:jc w:val="both"/>
        <w:rPr>
          <w:rFonts w:ascii="Arial" w:hAnsi="Arial" w:cs="Arial"/>
          <w:color w:val="000000"/>
          <w:sz w:val="20"/>
          <w:szCs w:val="20"/>
          <w:lang w:val="es-ES"/>
        </w:rPr>
      </w:pPr>
    </w:p>
    <w:p w:rsidR="000F69C2" w:rsidRPr="000F69C2" w:rsidRDefault="000F69C2" w:rsidP="000F69C2">
      <w:pPr>
        <w:autoSpaceDE w:val="0"/>
        <w:autoSpaceDN w:val="0"/>
        <w:adjustRightInd w:val="0"/>
        <w:spacing w:after="0" w:line="360" w:lineRule="auto"/>
        <w:jc w:val="both"/>
        <w:rPr>
          <w:rFonts w:ascii="Arial" w:hAnsi="Arial" w:cs="Arial"/>
          <w:b/>
          <w:bCs/>
          <w:sz w:val="24"/>
          <w:szCs w:val="24"/>
          <w:lang w:val="es-ES"/>
        </w:rPr>
      </w:pPr>
      <w:r w:rsidRPr="000F69C2">
        <w:rPr>
          <w:rFonts w:ascii="Arial" w:hAnsi="Arial" w:cs="Arial"/>
          <w:b/>
          <w:bCs/>
          <w:sz w:val="24"/>
          <w:szCs w:val="24"/>
          <w:lang w:val="es-ES"/>
        </w:rPr>
        <w:t>Single-</w:t>
      </w:r>
      <w:proofErr w:type="spellStart"/>
      <w:r w:rsidRPr="000F69C2">
        <w:rPr>
          <w:rFonts w:ascii="Arial" w:hAnsi="Arial" w:cs="Arial"/>
          <w:b/>
          <w:bCs/>
          <w:sz w:val="24"/>
          <w:szCs w:val="24"/>
          <w:lang w:val="es-ES"/>
        </w:rPr>
        <w:t>domain</w:t>
      </w:r>
      <w:proofErr w:type="spellEnd"/>
      <w:r w:rsidRPr="000F69C2">
        <w:rPr>
          <w:rFonts w:ascii="Arial" w:hAnsi="Arial" w:cs="Arial"/>
          <w:b/>
          <w:bCs/>
          <w:sz w:val="24"/>
          <w:szCs w:val="24"/>
          <w:lang w:val="es-ES"/>
        </w:rPr>
        <w:t xml:space="preserve"> </w:t>
      </w:r>
      <w:proofErr w:type="spellStart"/>
      <w:r w:rsidRPr="000F69C2">
        <w:rPr>
          <w:rFonts w:ascii="Arial" w:hAnsi="Arial" w:cs="Arial"/>
          <w:b/>
          <w:bCs/>
          <w:sz w:val="24"/>
          <w:szCs w:val="24"/>
          <w:lang w:val="es-ES"/>
        </w:rPr>
        <w:t>antibodies</w:t>
      </w:r>
      <w:proofErr w:type="spellEnd"/>
      <w:r w:rsidRPr="000F69C2">
        <w:rPr>
          <w:rFonts w:ascii="Arial" w:hAnsi="Arial" w:cs="Arial"/>
          <w:b/>
          <w:bCs/>
          <w:sz w:val="24"/>
          <w:szCs w:val="24"/>
          <w:lang w:val="es-ES"/>
        </w:rPr>
        <w:t xml:space="preserve"> </w:t>
      </w:r>
      <w:proofErr w:type="spellStart"/>
      <w:r w:rsidRPr="000F69C2">
        <w:rPr>
          <w:rFonts w:ascii="Arial" w:hAnsi="Arial" w:cs="Arial"/>
          <w:b/>
          <w:bCs/>
          <w:sz w:val="24"/>
          <w:szCs w:val="24"/>
          <w:lang w:val="es-ES"/>
        </w:rPr>
        <w:t>make</w:t>
      </w:r>
      <w:proofErr w:type="spellEnd"/>
      <w:r w:rsidRPr="000F69C2">
        <w:rPr>
          <w:rFonts w:ascii="Arial" w:hAnsi="Arial" w:cs="Arial"/>
          <w:b/>
          <w:bCs/>
          <w:sz w:val="24"/>
          <w:szCs w:val="24"/>
          <w:lang w:val="es-ES"/>
        </w:rPr>
        <w:t xml:space="preserve"> a </w:t>
      </w:r>
      <w:proofErr w:type="spellStart"/>
      <w:r w:rsidRPr="000F69C2">
        <w:rPr>
          <w:rFonts w:ascii="Arial" w:hAnsi="Arial" w:cs="Arial"/>
          <w:b/>
          <w:bCs/>
          <w:sz w:val="24"/>
          <w:szCs w:val="24"/>
          <w:lang w:val="es-ES"/>
        </w:rPr>
        <w:t>difference</w:t>
      </w:r>
      <w:proofErr w:type="spellEnd"/>
      <w:r w:rsidRPr="000F69C2">
        <w:rPr>
          <w:rFonts w:ascii="Arial" w:hAnsi="Arial" w:cs="Arial"/>
          <w:b/>
          <w:bCs/>
          <w:sz w:val="24"/>
          <w:szCs w:val="24"/>
          <w:lang w:val="es-ES"/>
        </w:rPr>
        <w:t xml:space="preserve"> [Los anticuerpos de dominio simple hacen la diferencia]</w:t>
      </w:r>
    </w:p>
    <w:p w:rsidR="000F69C2" w:rsidRDefault="000F69C2" w:rsidP="000F69C2">
      <w:pPr>
        <w:autoSpaceDE w:val="0"/>
        <w:autoSpaceDN w:val="0"/>
        <w:adjustRightInd w:val="0"/>
        <w:spacing w:after="0" w:line="360" w:lineRule="auto"/>
        <w:jc w:val="both"/>
        <w:rPr>
          <w:rFonts w:ascii="Arial" w:hAnsi="Arial" w:cs="Arial"/>
          <w:sz w:val="24"/>
          <w:szCs w:val="24"/>
          <w:lang w:val="es-ES"/>
        </w:rPr>
      </w:pPr>
    </w:p>
    <w:p w:rsidR="000F69C2" w:rsidRPr="000F69C2" w:rsidRDefault="000F69C2" w:rsidP="000F69C2">
      <w:pPr>
        <w:autoSpaceDE w:val="0"/>
        <w:autoSpaceDN w:val="0"/>
        <w:adjustRightInd w:val="0"/>
        <w:spacing w:after="0" w:line="240" w:lineRule="auto"/>
        <w:rPr>
          <w:rFonts w:ascii="Arial" w:hAnsi="Arial" w:cs="Arial"/>
          <w:sz w:val="24"/>
          <w:szCs w:val="24"/>
        </w:rPr>
      </w:pPr>
      <w:proofErr w:type="spellStart"/>
      <w:r w:rsidRPr="000F69C2">
        <w:rPr>
          <w:rFonts w:ascii="Arial" w:hAnsi="Arial" w:cs="Arial"/>
          <w:sz w:val="24"/>
          <w:szCs w:val="24"/>
        </w:rPr>
        <w:t>Autores</w:t>
      </w:r>
      <w:proofErr w:type="spellEnd"/>
      <w:r w:rsidRPr="000F69C2">
        <w:rPr>
          <w:rFonts w:ascii="Arial" w:hAnsi="Arial" w:cs="Arial"/>
          <w:sz w:val="24"/>
          <w:szCs w:val="24"/>
        </w:rPr>
        <w:t xml:space="preserve">: Xavier </w:t>
      </w:r>
      <w:proofErr w:type="spellStart"/>
      <w:r w:rsidRPr="000F69C2">
        <w:rPr>
          <w:rFonts w:ascii="Arial" w:hAnsi="Arial" w:cs="Arial"/>
          <w:sz w:val="24"/>
          <w:szCs w:val="24"/>
        </w:rPr>
        <w:t>Saelens</w:t>
      </w:r>
      <w:proofErr w:type="spellEnd"/>
      <w:r w:rsidRPr="000F69C2">
        <w:rPr>
          <w:rFonts w:ascii="Arial" w:hAnsi="Arial" w:cs="Arial"/>
          <w:sz w:val="24"/>
          <w:szCs w:val="24"/>
        </w:rPr>
        <w:t xml:space="preserve"> </w:t>
      </w:r>
      <w:r>
        <w:rPr>
          <w:rFonts w:ascii="Arial" w:hAnsi="Arial" w:cs="Arial"/>
          <w:sz w:val="24"/>
          <w:szCs w:val="24"/>
        </w:rPr>
        <w:t>y</w:t>
      </w:r>
      <w:r w:rsidRPr="000F69C2">
        <w:rPr>
          <w:rFonts w:ascii="Arial" w:hAnsi="Arial" w:cs="Arial"/>
          <w:sz w:val="24"/>
          <w:szCs w:val="24"/>
        </w:rPr>
        <w:t xml:space="preserve"> Bert </w:t>
      </w:r>
      <w:proofErr w:type="spellStart"/>
      <w:r w:rsidRPr="000F69C2">
        <w:rPr>
          <w:rFonts w:ascii="Arial" w:hAnsi="Arial" w:cs="Arial"/>
          <w:sz w:val="24"/>
          <w:szCs w:val="24"/>
        </w:rPr>
        <w:t>Schepens</w:t>
      </w:r>
      <w:proofErr w:type="spellEnd"/>
    </w:p>
    <w:p w:rsidR="000F69C2" w:rsidRDefault="000F69C2" w:rsidP="000F69C2">
      <w:pPr>
        <w:autoSpaceDE w:val="0"/>
        <w:autoSpaceDN w:val="0"/>
        <w:adjustRightInd w:val="0"/>
        <w:spacing w:after="0" w:line="240" w:lineRule="auto"/>
        <w:rPr>
          <w:rFonts w:ascii="Arial" w:hAnsi="Arial" w:cs="Arial"/>
          <w:sz w:val="24"/>
          <w:szCs w:val="24"/>
        </w:rPr>
      </w:pPr>
    </w:p>
    <w:p w:rsidR="000F69C2" w:rsidRDefault="000F69C2" w:rsidP="000F69C2">
      <w:pPr>
        <w:autoSpaceDE w:val="0"/>
        <w:autoSpaceDN w:val="0"/>
        <w:adjustRightInd w:val="0"/>
        <w:spacing w:after="0" w:line="240" w:lineRule="auto"/>
        <w:rPr>
          <w:rFonts w:ascii="Arial" w:hAnsi="Arial" w:cs="Arial"/>
          <w:sz w:val="24"/>
          <w:szCs w:val="24"/>
        </w:rPr>
      </w:pPr>
      <w:r w:rsidRPr="000F69C2">
        <w:rPr>
          <w:rFonts w:ascii="Arial" w:hAnsi="Arial" w:cs="Arial"/>
          <w:sz w:val="24"/>
          <w:szCs w:val="24"/>
        </w:rPr>
        <w:t>DOI: 10.1126/science.abg2294</w:t>
      </w:r>
      <w:r>
        <w:rPr>
          <w:rFonts w:ascii="Arial" w:hAnsi="Arial" w:cs="Arial"/>
          <w:sz w:val="24"/>
          <w:szCs w:val="24"/>
        </w:rPr>
        <w:t xml:space="preserve"> </w:t>
      </w:r>
      <w:r w:rsidRPr="000F69C2">
        <w:rPr>
          <w:rFonts w:ascii="Arial" w:hAnsi="Arial" w:cs="Arial"/>
          <w:i/>
          <w:iCs/>
          <w:sz w:val="24"/>
          <w:szCs w:val="24"/>
        </w:rPr>
        <w:t xml:space="preserve">Science </w:t>
      </w:r>
      <w:r w:rsidRPr="000F69C2">
        <w:rPr>
          <w:rFonts w:ascii="Arial" w:hAnsi="Arial" w:cs="Arial"/>
          <w:b/>
          <w:bCs/>
          <w:sz w:val="24"/>
          <w:szCs w:val="24"/>
        </w:rPr>
        <w:t xml:space="preserve">371 </w:t>
      </w:r>
      <w:r w:rsidRPr="000F69C2">
        <w:rPr>
          <w:rFonts w:ascii="Arial" w:hAnsi="Arial" w:cs="Arial"/>
          <w:sz w:val="24"/>
          <w:szCs w:val="24"/>
        </w:rPr>
        <w:t>(6530), 681-682.</w:t>
      </w:r>
    </w:p>
    <w:p w:rsidR="000F69C2" w:rsidRDefault="000F69C2" w:rsidP="000F69C2">
      <w:pPr>
        <w:autoSpaceDE w:val="0"/>
        <w:autoSpaceDN w:val="0"/>
        <w:adjustRightInd w:val="0"/>
        <w:spacing w:after="0" w:line="240" w:lineRule="auto"/>
        <w:rPr>
          <w:rFonts w:ascii="Arial" w:hAnsi="Arial" w:cs="Arial"/>
          <w:sz w:val="24"/>
          <w:szCs w:val="24"/>
        </w:rPr>
      </w:pPr>
    </w:p>
    <w:p w:rsidR="000F69C2" w:rsidRPr="000F69C2" w:rsidRDefault="000F69C2" w:rsidP="000F69C2">
      <w:pPr>
        <w:autoSpaceDE w:val="0"/>
        <w:autoSpaceDN w:val="0"/>
        <w:adjustRightInd w:val="0"/>
        <w:spacing w:after="0"/>
        <w:jc w:val="both"/>
        <w:rPr>
          <w:rFonts w:ascii="Arial" w:hAnsi="Arial" w:cs="Arial"/>
          <w:color w:val="0000FF"/>
          <w:sz w:val="20"/>
          <w:szCs w:val="20"/>
          <w:lang w:val="es-ES"/>
        </w:rPr>
      </w:pPr>
      <w:r w:rsidRPr="000F69C2">
        <w:rPr>
          <w:rFonts w:ascii="Arial" w:hAnsi="Arial" w:cs="Arial"/>
          <w:b/>
          <w:bCs/>
          <w:color w:val="000000"/>
          <w:sz w:val="20"/>
          <w:szCs w:val="20"/>
          <w:lang w:val="es-ES"/>
        </w:rPr>
        <w:t xml:space="preserve">Herramientas del articulo </w:t>
      </w:r>
      <w:r w:rsidRPr="000F69C2">
        <w:rPr>
          <w:rFonts w:ascii="Arial" w:hAnsi="Arial" w:cs="Arial"/>
          <w:color w:val="0000FF"/>
          <w:sz w:val="20"/>
          <w:szCs w:val="20"/>
          <w:lang w:val="es-ES"/>
        </w:rPr>
        <w:t>http://science.sciencemag.org/content/371/6530/681</w:t>
      </w:r>
    </w:p>
    <w:p w:rsidR="00926A90" w:rsidRDefault="00926A90" w:rsidP="000F69C2">
      <w:pPr>
        <w:autoSpaceDE w:val="0"/>
        <w:autoSpaceDN w:val="0"/>
        <w:adjustRightInd w:val="0"/>
        <w:spacing w:after="0"/>
        <w:jc w:val="both"/>
        <w:rPr>
          <w:rFonts w:ascii="Arial" w:hAnsi="Arial" w:cs="Arial"/>
          <w:b/>
          <w:bCs/>
          <w:color w:val="000000"/>
          <w:sz w:val="20"/>
          <w:szCs w:val="20"/>
          <w:lang w:val="es-ES"/>
        </w:rPr>
      </w:pPr>
    </w:p>
    <w:p w:rsidR="000F69C2" w:rsidRPr="000F69C2" w:rsidRDefault="000F69C2" w:rsidP="000F69C2">
      <w:pPr>
        <w:autoSpaceDE w:val="0"/>
        <w:autoSpaceDN w:val="0"/>
        <w:adjustRightInd w:val="0"/>
        <w:spacing w:after="0"/>
        <w:jc w:val="both"/>
        <w:rPr>
          <w:rFonts w:ascii="Arial" w:hAnsi="Arial" w:cs="Arial"/>
          <w:color w:val="0000FF"/>
          <w:sz w:val="20"/>
          <w:szCs w:val="20"/>
          <w:lang w:val="es-ES"/>
        </w:rPr>
      </w:pPr>
      <w:r w:rsidRPr="000F69C2">
        <w:rPr>
          <w:rFonts w:ascii="Arial" w:hAnsi="Arial" w:cs="Arial"/>
          <w:b/>
          <w:bCs/>
          <w:color w:val="000000"/>
          <w:sz w:val="20"/>
          <w:szCs w:val="20"/>
          <w:lang w:val="es-ES"/>
        </w:rPr>
        <w:t>Contenido relacionado</w:t>
      </w:r>
      <w:r>
        <w:rPr>
          <w:rFonts w:ascii="Arial" w:hAnsi="Arial" w:cs="Arial"/>
          <w:b/>
          <w:bCs/>
          <w:color w:val="000000"/>
          <w:sz w:val="20"/>
          <w:szCs w:val="20"/>
          <w:lang w:val="es-ES"/>
        </w:rPr>
        <w:t xml:space="preserve"> </w:t>
      </w:r>
      <w:r w:rsidRPr="000F69C2">
        <w:rPr>
          <w:rFonts w:ascii="Arial" w:hAnsi="Arial" w:cs="Arial"/>
          <w:color w:val="0000FF"/>
          <w:sz w:val="20"/>
          <w:szCs w:val="20"/>
          <w:lang w:val="es-ES"/>
        </w:rPr>
        <w:t>http://stm.sciencemag.org/content/scitransmed/12/541/eabb5883.full</w:t>
      </w:r>
    </w:p>
    <w:p w:rsidR="000F69C2" w:rsidRPr="000F69C2" w:rsidRDefault="000F69C2" w:rsidP="000F69C2">
      <w:pPr>
        <w:autoSpaceDE w:val="0"/>
        <w:autoSpaceDN w:val="0"/>
        <w:adjustRightInd w:val="0"/>
        <w:spacing w:after="0"/>
        <w:jc w:val="both"/>
        <w:rPr>
          <w:rFonts w:ascii="Arial" w:hAnsi="Arial" w:cs="Arial"/>
          <w:color w:val="0000FF"/>
          <w:sz w:val="20"/>
          <w:szCs w:val="20"/>
          <w:lang w:val="es-ES"/>
        </w:rPr>
      </w:pPr>
      <w:r>
        <w:rPr>
          <w:rFonts w:ascii="Arial" w:hAnsi="Arial" w:cs="Arial"/>
          <w:color w:val="0000FF"/>
          <w:sz w:val="20"/>
          <w:szCs w:val="20"/>
          <w:lang w:val="es-ES"/>
        </w:rPr>
        <w:t xml:space="preserve">                                        </w:t>
      </w:r>
      <w:r w:rsidRPr="000F69C2">
        <w:rPr>
          <w:rFonts w:ascii="Arial" w:hAnsi="Arial" w:cs="Arial"/>
          <w:color w:val="0000FF"/>
          <w:sz w:val="20"/>
          <w:szCs w:val="20"/>
          <w:lang w:val="es-ES"/>
        </w:rPr>
        <w:t>http://stm.sciencemag.org/content/scitransmed/12/550/eabc3539.full</w:t>
      </w:r>
    </w:p>
    <w:p w:rsidR="000F69C2" w:rsidRPr="000F69C2" w:rsidRDefault="000F69C2" w:rsidP="000F69C2">
      <w:pPr>
        <w:autoSpaceDE w:val="0"/>
        <w:autoSpaceDN w:val="0"/>
        <w:adjustRightInd w:val="0"/>
        <w:spacing w:after="0"/>
        <w:jc w:val="both"/>
        <w:rPr>
          <w:rFonts w:ascii="Arial" w:hAnsi="Arial" w:cs="Arial"/>
          <w:color w:val="0000FF"/>
          <w:sz w:val="20"/>
          <w:szCs w:val="20"/>
          <w:lang w:val="es-ES"/>
        </w:rPr>
      </w:pPr>
      <w:r>
        <w:rPr>
          <w:rFonts w:ascii="Arial" w:hAnsi="Arial" w:cs="Arial"/>
          <w:color w:val="0000FF"/>
          <w:sz w:val="20"/>
          <w:szCs w:val="20"/>
          <w:lang w:val="es-ES"/>
        </w:rPr>
        <w:t xml:space="preserve">                                        </w:t>
      </w:r>
      <w:r w:rsidRPr="000F69C2">
        <w:rPr>
          <w:rFonts w:ascii="Arial" w:hAnsi="Arial" w:cs="Arial"/>
          <w:color w:val="0000FF"/>
          <w:sz w:val="20"/>
          <w:szCs w:val="20"/>
          <w:lang w:val="es-ES"/>
        </w:rPr>
        <w:t>http://stm.sciencemag.org/content/scitransmed/12/555/eabc9396.full</w:t>
      </w:r>
    </w:p>
    <w:p w:rsidR="000F69C2" w:rsidRPr="000F69C2" w:rsidRDefault="000F69C2" w:rsidP="000F69C2">
      <w:pPr>
        <w:autoSpaceDE w:val="0"/>
        <w:autoSpaceDN w:val="0"/>
        <w:adjustRightInd w:val="0"/>
        <w:spacing w:after="0"/>
        <w:jc w:val="both"/>
        <w:rPr>
          <w:rFonts w:ascii="Arial" w:hAnsi="Arial" w:cs="Arial"/>
          <w:color w:val="0000FF"/>
          <w:sz w:val="20"/>
          <w:szCs w:val="20"/>
          <w:lang w:val="es-ES"/>
        </w:rPr>
      </w:pPr>
      <w:r>
        <w:rPr>
          <w:rFonts w:ascii="Arial" w:hAnsi="Arial" w:cs="Arial"/>
          <w:color w:val="0000FF"/>
          <w:sz w:val="20"/>
          <w:szCs w:val="20"/>
          <w:lang w:val="es-ES"/>
        </w:rPr>
        <w:t xml:space="preserve">                                        </w:t>
      </w:r>
      <w:r w:rsidRPr="000F69C2">
        <w:rPr>
          <w:rFonts w:ascii="Arial" w:hAnsi="Arial" w:cs="Arial"/>
          <w:color w:val="0000FF"/>
          <w:sz w:val="20"/>
          <w:szCs w:val="20"/>
          <w:lang w:val="es-ES"/>
        </w:rPr>
        <w:t>http://stm.sciencemag.org/content/scitransmed/12/557/eabc5332.full</w:t>
      </w:r>
    </w:p>
    <w:p w:rsidR="000F69C2" w:rsidRPr="000F69C2" w:rsidRDefault="000F69C2" w:rsidP="000F69C2">
      <w:pPr>
        <w:autoSpaceDE w:val="0"/>
        <w:autoSpaceDN w:val="0"/>
        <w:adjustRightInd w:val="0"/>
        <w:spacing w:after="0"/>
        <w:jc w:val="both"/>
        <w:rPr>
          <w:rFonts w:ascii="Arial" w:hAnsi="Arial" w:cs="Arial"/>
          <w:color w:val="0000FF"/>
          <w:sz w:val="20"/>
          <w:szCs w:val="20"/>
          <w:lang w:val="es-ES"/>
        </w:rPr>
      </w:pPr>
      <w:r>
        <w:rPr>
          <w:rFonts w:ascii="Arial" w:hAnsi="Arial" w:cs="Arial"/>
          <w:color w:val="0000FF"/>
          <w:sz w:val="20"/>
          <w:szCs w:val="20"/>
          <w:lang w:val="es-ES"/>
        </w:rPr>
        <w:t xml:space="preserve">                                        </w:t>
      </w:r>
      <w:r w:rsidRPr="000F69C2">
        <w:rPr>
          <w:rFonts w:ascii="Arial" w:hAnsi="Arial" w:cs="Arial"/>
          <w:color w:val="0000FF"/>
          <w:sz w:val="20"/>
          <w:szCs w:val="20"/>
          <w:lang w:val="es-ES"/>
        </w:rPr>
        <w:t>http://science.sciencemag.org/content/sci/371/6530/eabe6230.full</w:t>
      </w:r>
    </w:p>
    <w:p w:rsidR="00926A90" w:rsidRDefault="00926A90" w:rsidP="000F69C2">
      <w:pPr>
        <w:autoSpaceDE w:val="0"/>
        <w:autoSpaceDN w:val="0"/>
        <w:adjustRightInd w:val="0"/>
        <w:spacing w:after="0"/>
        <w:jc w:val="both"/>
        <w:rPr>
          <w:rFonts w:ascii="Arial" w:hAnsi="Arial" w:cs="Arial"/>
          <w:b/>
          <w:bCs/>
          <w:color w:val="000000"/>
          <w:sz w:val="20"/>
          <w:szCs w:val="20"/>
          <w:lang w:val="es-ES"/>
        </w:rPr>
      </w:pPr>
    </w:p>
    <w:p w:rsidR="000F69C2" w:rsidRPr="00926A90" w:rsidRDefault="000F69C2" w:rsidP="000F69C2">
      <w:pPr>
        <w:autoSpaceDE w:val="0"/>
        <w:autoSpaceDN w:val="0"/>
        <w:adjustRightInd w:val="0"/>
        <w:spacing w:after="0"/>
        <w:jc w:val="both"/>
        <w:rPr>
          <w:rFonts w:ascii="Arial" w:hAnsi="Arial" w:cs="Arial"/>
          <w:color w:val="0000FF"/>
          <w:sz w:val="20"/>
          <w:szCs w:val="20"/>
          <w:lang w:val="es-ES"/>
        </w:rPr>
      </w:pPr>
      <w:r w:rsidRPr="00926A90">
        <w:rPr>
          <w:rFonts w:ascii="Arial" w:hAnsi="Arial" w:cs="Arial"/>
          <w:b/>
          <w:bCs/>
          <w:color w:val="000000"/>
          <w:sz w:val="20"/>
          <w:szCs w:val="20"/>
          <w:lang w:val="es-ES"/>
        </w:rPr>
        <w:t>R</w:t>
      </w:r>
      <w:r w:rsidR="00926A90" w:rsidRPr="00926A90">
        <w:rPr>
          <w:rFonts w:ascii="Arial" w:hAnsi="Arial" w:cs="Arial"/>
          <w:b/>
          <w:bCs/>
          <w:color w:val="000000"/>
          <w:sz w:val="20"/>
          <w:szCs w:val="20"/>
          <w:lang w:val="es-ES"/>
        </w:rPr>
        <w:t>eferencias</w:t>
      </w:r>
      <w:r w:rsidR="00926A90">
        <w:rPr>
          <w:rFonts w:ascii="Arial" w:hAnsi="Arial" w:cs="Arial"/>
          <w:b/>
          <w:bCs/>
          <w:color w:val="000000"/>
          <w:sz w:val="20"/>
          <w:szCs w:val="20"/>
          <w:lang w:val="es-ES"/>
        </w:rPr>
        <w:t xml:space="preserve">  </w:t>
      </w:r>
      <w:r w:rsidRPr="00926A90">
        <w:rPr>
          <w:rFonts w:ascii="Arial" w:hAnsi="Arial" w:cs="Arial"/>
          <w:color w:val="0000FF"/>
          <w:sz w:val="20"/>
          <w:szCs w:val="20"/>
          <w:lang w:val="es-ES"/>
        </w:rPr>
        <w:t>http://science.sciencemag.org/content/371/6530/681#BIBL</w:t>
      </w:r>
    </w:p>
    <w:p w:rsidR="00926A90" w:rsidRPr="00926A90" w:rsidRDefault="00926A90" w:rsidP="000F69C2">
      <w:pPr>
        <w:autoSpaceDE w:val="0"/>
        <w:autoSpaceDN w:val="0"/>
        <w:adjustRightInd w:val="0"/>
        <w:spacing w:after="0"/>
        <w:jc w:val="both"/>
        <w:rPr>
          <w:rFonts w:ascii="Arial" w:hAnsi="Arial" w:cs="Arial"/>
          <w:color w:val="000000"/>
          <w:sz w:val="20"/>
          <w:szCs w:val="20"/>
          <w:lang w:val="es-ES"/>
        </w:rPr>
      </w:pPr>
    </w:p>
    <w:p w:rsidR="00926A90" w:rsidRDefault="00926A90" w:rsidP="000F69C2">
      <w:pPr>
        <w:autoSpaceDE w:val="0"/>
        <w:autoSpaceDN w:val="0"/>
        <w:adjustRightInd w:val="0"/>
        <w:spacing w:after="0"/>
        <w:jc w:val="both"/>
        <w:rPr>
          <w:rFonts w:ascii="Arial" w:hAnsi="Arial" w:cs="Arial"/>
          <w:color w:val="000000"/>
          <w:sz w:val="20"/>
          <w:szCs w:val="20"/>
          <w:lang w:val="es-ES"/>
        </w:rPr>
      </w:pPr>
      <w:r w:rsidRPr="00926A90">
        <w:rPr>
          <w:rFonts w:ascii="Arial" w:hAnsi="Arial" w:cs="Arial"/>
          <w:color w:val="000000"/>
          <w:sz w:val="20"/>
          <w:szCs w:val="20"/>
          <w:lang w:val="es-ES"/>
        </w:rPr>
        <w:t>Este artículo cita 15 artículos</w:t>
      </w:r>
      <w:r>
        <w:rPr>
          <w:rFonts w:ascii="Arial" w:hAnsi="Arial" w:cs="Arial"/>
          <w:color w:val="000000"/>
          <w:sz w:val="20"/>
          <w:szCs w:val="20"/>
          <w:lang w:val="es-ES"/>
        </w:rPr>
        <w:t>, 4 de los cuales son de acceso abierto</w:t>
      </w:r>
      <w:r w:rsidRPr="00926A90">
        <w:rPr>
          <w:rFonts w:ascii="Arial" w:hAnsi="Arial" w:cs="Arial"/>
          <w:color w:val="000000"/>
          <w:sz w:val="20"/>
          <w:szCs w:val="20"/>
          <w:lang w:val="es-ES"/>
        </w:rPr>
        <w:t xml:space="preserve">  </w:t>
      </w:r>
    </w:p>
    <w:p w:rsidR="00926A90" w:rsidRPr="00926A90" w:rsidRDefault="00926A90" w:rsidP="000F69C2">
      <w:pPr>
        <w:autoSpaceDE w:val="0"/>
        <w:autoSpaceDN w:val="0"/>
        <w:adjustRightInd w:val="0"/>
        <w:spacing w:after="0"/>
        <w:jc w:val="both"/>
        <w:rPr>
          <w:rFonts w:ascii="Arial" w:hAnsi="Arial" w:cs="Arial"/>
          <w:color w:val="000000"/>
          <w:sz w:val="20"/>
          <w:szCs w:val="20"/>
          <w:lang w:val="es-ES"/>
        </w:rPr>
      </w:pPr>
    </w:p>
    <w:p w:rsidR="000F69C2" w:rsidRPr="00926A90" w:rsidRDefault="000F69C2" w:rsidP="000F69C2">
      <w:pPr>
        <w:autoSpaceDE w:val="0"/>
        <w:autoSpaceDN w:val="0"/>
        <w:adjustRightInd w:val="0"/>
        <w:spacing w:after="0"/>
        <w:jc w:val="both"/>
        <w:rPr>
          <w:rFonts w:ascii="Arial" w:hAnsi="Arial" w:cs="Arial"/>
          <w:b/>
          <w:bCs/>
          <w:color w:val="CD0000"/>
          <w:sz w:val="20"/>
          <w:szCs w:val="20"/>
          <w:lang w:val="es-ES"/>
        </w:rPr>
      </w:pPr>
      <w:r w:rsidRPr="00926A90">
        <w:rPr>
          <w:rFonts w:ascii="Arial" w:hAnsi="Arial" w:cs="Arial"/>
          <w:b/>
          <w:bCs/>
          <w:color w:val="000000"/>
          <w:sz w:val="20"/>
          <w:szCs w:val="20"/>
          <w:lang w:val="es-ES"/>
        </w:rPr>
        <w:t>P</w:t>
      </w:r>
      <w:r w:rsidR="00926A90" w:rsidRPr="00926A90">
        <w:rPr>
          <w:rFonts w:ascii="Arial" w:hAnsi="Arial" w:cs="Arial"/>
          <w:b/>
          <w:bCs/>
          <w:color w:val="000000"/>
          <w:sz w:val="20"/>
          <w:szCs w:val="20"/>
          <w:lang w:val="es-ES"/>
        </w:rPr>
        <w:t xml:space="preserve">ermisos </w:t>
      </w:r>
      <w:r w:rsidRPr="00926A90">
        <w:rPr>
          <w:rFonts w:ascii="Arial" w:hAnsi="Arial" w:cs="Arial"/>
          <w:b/>
          <w:bCs/>
          <w:color w:val="000000"/>
          <w:sz w:val="20"/>
          <w:szCs w:val="20"/>
          <w:lang w:val="es-ES"/>
        </w:rPr>
        <w:t xml:space="preserve"> </w:t>
      </w:r>
      <w:r w:rsidRPr="00926A90">
        <w:rPr>
          <w:rFonts w:ascii="Arial" w:hAnsi="Arial" w:cs="Arial"/>
          <w:color w:val="0000FF"/>
          <w:sz w:val="20"/>
          <w:szCs w:val="20"/>
          <w:lang w:val="es-ES"/>
        </w:rPr>
        <w:t>http://www.sciencemag.org/help/reprints-and-permissions</w:t>
      </w:r>
    </w:p>
    <w:sectPr w:rsidR="000F69C2" w:rsidRPr="00926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CFD" w:rsidRDefault="00B53CFD" w:rsidP="002E1F48">
      <w:pPr>
        <w:spacing w:after="0" w:line="240" w:lineRule="auto"/>
      </w:pPr>
      <w:r>
        <w:separator/>
      </w:r>
    </w:p>
  </w:endnote>
  <w:endnote w:type="continuationSeparator" w:id="0">
    <w:p w:rsidR="00B53CFD" w:rsidRDefault="00B53CFD" w:rsidP="002E1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CFD" w:rsidRDefault="00B53CFD" w:rsidP="002E1F48">
      <w:pPr>
        <w:spacing w:after="0" w:line="240" w:lineRule="auto"/>
      </w:pPr>
      <w:r>
        <w:separator/>
      </w:r>
    </w:p>
  </w:footnote>
  <w:footnote w:type="continuationSeparator" w:id="0">
    <w:p w:rsidR="00B53CFD" w:rsidRDefault="00B53CFD" w:rsidP="002E1F48">
      <w:pPr>
        <w:spacing w:after="0" w:line="240" w:lineRule="auto"/>
      </w:pPr>
      <w:r>
        <w:continuationSeparator/>
      </w:r>
    </w:p>
  </w:footnote>
  <w:footnote w:id="1">
    <w:p w:rsidR="002E1F48" w:rsidRPr="002E1F48" w:rsidRDefault="002E1F48">
      <w:pPr>
        <w:pStyle w:val="Textonotapie"/>
        <w:rPr>
          <w:lang w:val="es-ES"/>
        </w:rPr>
      </w:pPr>
      <w:r w:rsidRPr="002E1F48">
        <w:rPr>
          <w:rStyle w:val="Refdenotaalpie"/>
          <w:lang w:val="es-ES"/>
        </w:rPr>
        <w:t>*</w:t>
      </w:r>
      <w:r w:rsidRPr="002E1F48">
        <w:rPr>
          <w:lang w:val="es-ES"/>
        </w:rPr>
        <w:t xml:space="preserve"> Nota del Traductor: Se hace la </w:t>
      </w:r>
      <w:r w:rsidR="00D236C9" w:rsidRPr="002E1F48">
        <w:rPr>
          <w:lang w:val="es-ES"/>
        </w:rPr>
        <w:t>traducción</w:t>
      </w:r>
      <w:r w:rsidRPr="002E1F48">
        <w:rPr>
          <w:lang w:val="es-ES"/>
        </w:rPr>
        <w:t xml:space="preserve"> exacta</w:t>
      </w:r>
      <w:r w:rsidR="00D236C9">
        <w:rPr>
          <w:lang w:val="es-ES"/>
        </w:rPr>
        <w:t xml:space="preserve"> del texto. El lector habría de remitirse a la cita.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4A"/>
    <w:rsid w:val="000766D7"/>
    <w:rsid w:val="000A4A42"/>
    <w:rsid w:val="000F23BC"/>
    <w:rsid w:val="000F69C2"/>
    <w:rsid w:val="000F78F2"/>
    <w:rsid w:val="00123DBF"/>
    <w:rsid w:val="001A216C"/>
    <w:rsid w:val="001B699E"/>
    <w:rsid w:val="00251D83"/>
    <w:rsid w:val="00274FD2"/>
    <w:rsid w:val="002C58FC"/>
    <w:rsid w:val="002C6034"/>
    <w:rsid w:val="002E1F48"/>
    <w:rsid w:val="00320C54"/>
    <w:rsid w:val="00331F36"/>
    <w:rsid w:val="003432C1"/>
    <w:rsid w:val="00352612"/>
    <w:rsid w:val="0036024A"/>
    <w:rsid w:val="00372126"/>
    <w:rsid w:val="0043469C"/>
    <w:rsid w:val="004562B6"/>
    <w:rsid w:val="00481E31"/>
    <w:rsid w:val="004B5FF0"/>
    <w:rsid w:val="004C4497"/>
    <w:rsid w:val="004E5CD4"/>
    <w:rsid w:val="0056030C"/>
    <w:rsid w:val="005C1B23"/>
    <w:rsid w:val="00621038"/>
    <w:rsid w:val="00625C1F"/>
    <w:rsid w:val="006D176D"/>
    <w:rsid w:val="006E31EF"/>
    <w:rsid w:val="006F0E3F"/>
    <w:rsid w:val="007239DF"/>
    <w:rsid w:val="00733488"/>
    <w:rsid w:val="00766733"/>
    <w:rsid w:val="00791AAD"/>
    <w:rsid w:val="007E0694"/>
    <w:rsid w:val="008103DA"/>
    <w:rsid w:val="00851B07"/>
    <w:rsid w:val="00855C50"/>
    <w:rsid w:val="008876F9"/>
    <w:rsid w:val="008C3A17"/>
    <w:rsid w:val="00926A90"/>
    <w:rsid w:val="00944677"/>
    <w:rsid w:val="009E6BE4"/>
    <w:rsid w:val="00A459B5"/>
    <w:rsid w:val="00A5796D"/>
    <w:rsid w:val="00A936A6"/>
    <w:rsid w:val="00AB7997"/>
    <w:rsid w:val="00AE0E1A"/>
    <w:rsid w:val="00B26176"/>
    <w:rsid w:val="00B53CFD"/>
    <w:rsid w:val="00B7434A"/>
    <w:rsid w:val="00BF65C7"/>
    <w:rsid w:val="00C12C99"/>
    <w:rsid w:val="00C148CA"/>
    <w:rsid w:val="00C55A43"/>
    <w:rsid w:val="00C61036"/>
    <w:rsid w:val="00CA18C4"/>
    <w:rsid w:val="00CA532F"/>
    <w:rsid w:val="00CE33E3"/>
    <w:rsid w:val="00CF17F1"/>
    <w:rsid w:val="00D236C9"/>
    <w:rsid w:val="00D71C32"/>
    <w:rsid w:val="00DA0705"/>
    <w:rsid w:val="00DD46D5"/>
    <w:rsid w:val="00DF30D6"/>
    <w:rsid w:val="00F2424B"/>
    <w:rsid w:val="00F43B6D"/>
    <w:rsid w:val="00F636BB"/>
    <w:rsid w:val="00F67F53"/>
    <w:rsid w:val="00FA0C30"/>
    <w:rsid w:val="00FA3CC6"/>
    <w:rsid w:val="00FB1793"/>
    <w:rsid w:val="00FC33E2"/>
    <w:rsid w:val="00FF52CB"/>
    <w:rsid w:val="00FF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42F9C-BEC7-4081-AF01-8564CAE7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30D6"/>
    <w:rPr>
      <w:color w:val="0000FF" w:themeColor="hyperlink"/>
      <w:u w:val="single"/>
    </w:rPr>
  </w:style>
  <w:style w:type="paragraph" w:styleId="Textonotapie">
    <w:name w:val="footnote text"/>
    <w:basedOn w:val="Normal"/>
    <w:link w:val="TextonotapieCar"/>
    <w:uiPriority w:val="99"/>
    <w:semiHidden/>
    <w:unhideWhenUsed/>
    <w:rsid w:val="002E1F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1F48"/>
    <w:rPr>
      <w:sz w:val="20"/>
      <w:szCs w:val="20"/>
    </w:rPr>
  </w:style>
  <w:style w:type="character" w:styleId="Refdenotaalpie">
    <w:name w:val="footnote reference"/>
    <w:basedOn w:val="Fuentedeprrafopredeter"/>
    <w:uiPriority w:val="99"/>
    <w:semiHidden/>
    <w:unhideWhenUsed/>
    <w:rsid w:val="002E1F48"/>
    <w:rPr>
      <w:vertAlign w:val="superscript"/>
    </w:rPr>
  </w:style>
  <w:style w:type="table" w:styleId="Tablaconcuadrcula">
    <w:name w:val="Table Grid"/>
    <w:basedOn w:val="Tablanormal"/>
    <w:uiPriority w:val="59"/>
    <w:rsid w:val="00F43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A18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1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rt.schepens@vib-ugent.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441A-B829-4AF4-910B-B02A0225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6</Pages>
  <Words>2139</Words>
  <Characters>11766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Vega</dc:creator>
  <cp:lastModifiedBy>Magdalena</cp:lastModifiedBy>
  <cp:revision>15</cp:revision>
  <dcterms:created xsi:type="dcterms:W3CDTF">2021-03-28T00:19:00Z</dcterms:created>
  <dcterms:modified xsi:type="dcterms:W3CDTF">2021-04-15T18:07:00Z</dcterms:modified>
</cp:coreProperties>
</file>