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359" w:rsidRDefault="000121B9">
      <w:pPr>
        <w:rPr>
          <w:rFonts w:ascii="Comic Sans MS" w:hAnsi="Comic Sans MS"/>
          <w:b/>
          <w:sz w:val="28"/>
          <w:szCs w:val="28"/>
        </w:rPr>
      </w:pPr>
      <w:r>
        <w:rPr>
          <w:rFonts w:ascii="Comic Sans MS" w:hAnsi="Comic Sans MS"/>
          <w:b/>
          <w:sz w:val="28"/>
          <w:szCs w:val="28"/>
        </w:rPr>
        <w:t xml:space="preserve"> Consideraciones</w:t>
      </w:r>
      <w:r w:rsidR="00EE66DB">
        <w:rPr>
          <w:rFonts w:ascii="Comic Sans MS" w:hAnsi="Comic Sans MS"/>
          <w:b/>
          <w:sz w:val="28"/>
          <w:szCs w:val="28"/>
        </w:rPr>
        <w:t xml:space="preserve"> generales para</w:t>
      </w:r>
      <w:r w:rsidR="00DC67AD">
        <w:rPr>
          <w:rFonts w:ascii="Comic Sans MS" w:hAnsi="Comic Sans MS"/>
          <w:b/>
          <w:sz w:val="28"/>
          <w:szCs w:val="28"/>
        </w:rPr>
        <w:t xml:space="preserve"> los </w:t>
      </w:r>
      <w:r w:rsidR="003E2359">
        <w:rPr>
          <w:rFonts w:ascii="Comic Sans MS" w:hAnsi="Comic Sans MS"/>
          <w:b/>
          <w:sz w:val="28"/>
          <w:szCs w:val="28"/>
        </w:rPr>
        <w:t>Cardiólogos</w:t>
      </w:r>
      <w:r w:rsidR="00DC67AD">
        <w:rPr>
          <w:rFonts w:ascii="Comic Sans MS" w:hAnsi="Comic Sans MS"/>
          <w:b/>
          <w:sz w:val="28"/>
          <w:szCs w:val="28"/>
        </w:rPr>
        <w:t xml:space="preserve"> que participan en la atención de pacientes con COVID-19 de acuerdo a lo instituido en el protocolo Nacional </w:t>
      </w:r>
    </w:p>
    <w:p w:rsidR="003E2359" w:rsidRDefault="003E2359">
      <w:pPr>
        <w:rPr>
          <w:rFonts w:ascii="Comic Sans MS" w:hAnsi="Comic Sans MS"/>
          <w:b/>
          <w:sz w:val="28"/>
          <w:szCs w:val="28"/>
        </w:rPr>
      </w:pPr>
    </w:p>
    <w:p w:rsidR="00410557" w:rsidRDefault="003E2359">
      <w:pPr>
        <w:rPr>
          <w:rFonts w:ascii="Comic Sans MS" w:hAnsi="Comic Sans MS"/>
          <w:sz w:val="28"/>
          <w:szCs w:val="28"/>
        </w:rPr>
      </w:pPr>
      <w:r w:rsidRPr="003E2359">
        <w:rPr>
          <w:rFonts w:ascii="Comic Sans MS" w:hAnsi="Comic Sans MS"/>
          <w:sz w:val="28"/>
          <w:szCs w:val="28"/>
        </w:rPr>
        <w:t xml:space="preserve">Un grupo de cardiólogos se integran a la atención </w:t>
      </w:r>
      <w:r>
        <w:rPr>
          <w:rFonts w:ascii="Comic Sans MS" w:hAnsi="Comic Sans MS"/>
          <w:sz w:val="28"/>
          <w:szCs w:val="28"/>
        </w:rPr>
        <w:t xml:space="preserve">de los grupos multidisciplinarios </w:t>
      </w:r>
      <w:r w:rsidR="00410557">
        <w:rPr>
          <w:rFonts w:ascii="Comic Sans MS" w:hAnsi="Comic Sans MS"/>
          <w:sz w:val="28"/>
          <w:szCs w:val="28"/>
        </w:rPr>
        <w:t>liderados</w:t>
      </w:r>
      <w:r>
        <w:rPr>
          <w:rFonts w:ascii="Comic Sans MS" w:hAnsi="Comic Sans MS"/>
          <w:sz w:val="28"/>
          <w:szCs w:val="28"/>
        </w:rPr>
        <w:t xml:space="preserve"> por los especialistas en cuidados intensivos que atienden a los pacientes con COVID-19 por lo que se hace necesario definir las pautas generales de su actuación de acuerdo a la evidencia </w:t>
      </w:r>
      <w:r w:rsidR="00410557">
        <w:rPr>
          <w:rFonts w:ascii="Comic Sans MS" w:hAnsi="Comic Sans MS"/>
          <w:sz w:val="28"/>
          <w:szCs w:val="28"/>
        </w:rPr>
        <w:t>científica</w:t>
      </w:r>
      <w:r>
        <w:rPr>
          <w:rFonts w:ascii="Comic Sans MS" w:hAnsi="Comic Sans MS"/>
          <w:sz w:val="28"/>
          <w:szCs w:val="28"/>
        </w:rPr>
        <w:t xml:space="preserve"> actual para obtener una atención uniforme y calificada. </w:t>
      </w:r>
      <w:r w:rsidR="00410557">
        <w:rPr>
          <w:rFonts w:ascii="Comic Sans MS" w:hAnsi="Comic Sans MS"/>
          <w:sz w:val="28"/>
          <w:szCs w:val="28"/>
        </w:rPr>
        <w:t>Además</w:t>
      </w:r>
      <w:r>
        <w:rPr>
          <w:rFonts w:ascii="Comic Sans MS" w:hAnsi="Comic Sans MS"/>
          <w:sz w:val="28"/>
          <w:szCs w:val="28"/>
        </w:rPr>
        <w:t xml:space="preserve"> los principios del protocolo nacional y demostrado por la literatura es prevenir y tratar las complicaciones</w:t>
      </w:r>
      <w:r w:rsidR="00410557">
        <w:rPr>
          <w:rFonts w:ascii="Comic Sans MS" w:hAnsi="Comic Sans MS"/>
          <w:sz w:val="28"/>
          <w:szCs w:val="28"/>
        </w:rPr>
        <w:t xml:space="preserve"> en base a un consenso que permita extraer conocimiento y conclusiones para una superior asistencia y</w:t>
      </w:r>
      <w:r w:rsidR="00B1574F">
        <w:rPr>
          <w:rFonts w:ascii="Comic Sans MS" w:hAnsi="Comic Sans MS"/>
          <w:sz w:val="28"/>
          <w:szCs w:val="28"/>
        </w:rPr>
        <w:t xml:space="preserve"> una</w:t>
      </w:r>
      <w:r w:rsidR="00410557">
        <w:rPr>
          <w:rFonts w:ascii="Comic Sans MS" w:hAnsi="Comic Sans MS"/>
          <w:sz w:val="28"/>
          <w:szCs w:val="28"/>
        </w:rPr>
        <w:t xml:space="preserve"> menor mortalidad.</w:t>
      </w:r>
    </w:p>
    <w:p w:rsidR="00410557" w:rsidRDefault="00410557">
      <w:pPr>
        <w:rPr>
          <w:rFonts w:ascii="Comic Sans MS" w:hAnsi="Comic Sans MS"/>
          <w:sz w:val="28"/>
          <w:szCs w:val="28"/>
        </w:rPr>
      </w:pPr>
      <w:r>
        <w:rPr>
          <w:rFonts w:ascii="Comic Sans MS" w:hAnsi="Comic Sans MS"/>
          <w:sz w:val="28"/>
          <w:szCs w:val="28"/>
        </w:rPr>
        <w:t xml:space="preserve">  Estas pautas o direcciones principales de la atención cardiovascular se enfocan fundamentalmente a los aspectos siguientes:</w:t>
      </w:r>
    </w:p>
    <w:p w:rsidR="00410557" w:rsidRDefault="00410557">
      <w:pPr>
        <w:rPr>
          <w:rFonts w:ascii="Comic Sans MS" w:hAnsi="Comic Sans MS"/>
          <w:sz w:val="28"/>
          <w:szCs w:val="28"/>
        </w:rPr>
      </w:pPr>
      <w:r>
        <w:rPr>
          <w:rFonts w:ascii="Comic Sans MS" w:hAnsi="Comic Sans MS"/>
          <w:sz w:val="28"/>
          <w:szCs w:val="28"/>
        </w:rPr>
        <w:t xml:space="preserve">1-Identificar o prevenir la aparición de efectos </w:t>
      </w:r>
      <w:r w:rsidR="00F97C75">
        <w:rPr>
          <w:rFonts w:ascii="Comic Sans MS" w:hAnsi="Comic Sans MS"/>
          <w:sz w:val="28"/>
          <w:szCs w:val="28"/>
        </w:rPr>
        <w:t>pro arrítmicos</w:t>
      </w:r>
      <w:r>
        <w:rPr>
          <w:rFonts w:ascii="Comic Sans MS" w:hAnsi="Comic Sans MS"/>
          <w:sz w:val="28"/>
          <w:szCs w:val="28"/>
        </w:rPr>
        <w:t xml:space="preserve"> graves inducidos por las terapéuticas incluidas en el protocolo cubano.</w:t>
      </w:r>
    </w:p>
    <w:p w:rsidR="00410557" w:rsidRDefault="00410557">
      <w:pPr>
        <w:rPr>
          <w:rFonts w:ascii="Comic Sans MS" w:hAnsi="Comic Sans MS"/>
          <w:sz w:val="28"/>
          <w:szCs w:val="28"/>
        </w:rPr>
      </w:pPr>
      <w:r>
        <w:rPr>
          <w:rFonts w:ascii="Comic Sans MS" w:hAnsi="Comic Sans MS"/>
          <w:sz w:val="28"/>
          <w:szCs w:val="28"/>
        </w:rPr>
        <w:t xml:space="preserve">2-Lograr un </w:t>
      </w:r>
      <w:r w:rsidR="00BF1454">
        <w:rPr>
          <w:rFonts w:ascii="Comic Sans MS" w:hAnsi="Comic Sans MS"/>
          <w:sz w:val="28"/>
          <w:szCs w:val="28"/>
        </w:rPr>
        <w:t>diagnóstico</w:t>
      </w:r>
      <w:r>
        <w:rPr>
          <w:rFonts w:ascii="Comic Sans MS" w:hAnsi="Comic Sans MS"/>
          <w:sz w:val="28"/>
          <w:szCs w:val="28"/>
        </w:rPr>
        <w:t xml:space="preserve"> y tratamiento eficaz de</w:t>
      </w:r>
      <w:r w:rsidR="000121B9">
        <w:rPr>
          <w:rFonts w:ascii="Comic Sans MS" w:hAnsi="Comic Sans MS"/>
          <w:sz w:val="28"/>
          <w:szCs w:val="28"/>
        </w:rPr>
        <w:t xml:space="preserve">l daño miocárdico y o la </w:t>
      </w:r>
      <w:r>
        <w:rPr>
          <w:rFonts w:ascii="Comic Sans MS" w:hAnsi="Comic Sans MS"/>
          <w:sz w:val="28"/>
          <w:szCs w:val="28"/>
        </w:rPr>
        <w:t>miocarditis viral del SARSV-2 que puede ser fulminante.</w:t>
      </w:r>
    </w:p>
    <w:p w:rsidR="00652702" w:rsidRDefault="00410557">
      <w:r>
        <w:rPr>
          <w:rFonts w:ascii="Comic Sans MS" w:hAnsi="Comic Sans MS"/>
          <w:sz w:val="28"/>
          <w:szCs w:val="28"/>
        </w:rPr>
        <w:t>3- Aclarar de forma concluyente la no evidencia de efecto nocivo de la terapéutica con bloqueadores ARA-2 o I.ECA</w:t>
      </w:r>
      <w:r w:rsidR="00F97C75">
        <w:rPr>
          <w:rFonts w:ascii="Comic Sans MS" w:hAnsi="Comic Sans MS"/>
          <w:sz w:val="28"/>
          <w:szCs w:val="28"/>
        </w:rPr>
        <w:t xml:space="preserve"> que justifiquen una suspensión de los mismos y dominar los posibles efectos beneficiosos en el orden </w:t>
      </w:r>
      <w:r w:rsidR="00BF1454">
        <w:rPr>
          <w:rFonts w:ascii="Comic Sans MS" w:hAnsi="Comic Sans MS"/>
          <w:sz w:val="28"/>
          <w:szCs w:val="28"/>
        </w:rPr>
        <w:t>teórico</w:t>
      </w:r>
      <w:r w:rsidR="00F97C75">
        <w:rPr>
          <w:rFonts w:ascii="Comic Sans MS" w:hAnsi="Comic Sans MS"/>
          <w:sz w:val="28"/>
          <w:szCs w:val="28"/>
        </w:rPr>
        <w:t xml:space="preserve"> y que es objeto de varios ensayos clínicos a nivel mundial.</w:t>
      </w:r>
      <w:r w:rsidR="003E2359">
        <w:rPr>
          <w:rFonts w:ascii="Comic Sans MS" w:hAnsi="Comic Sans MS"/>
          <w:sz w:val="28"/>
          <w:szCs w:val="28"/>
        </w:rPr>
        <w:t xml:space="preserve"> </w:t>
      </w:r>
      <w:r w:rsidR="00652702" w:rsidRPr="003E2359">
        <w:t xml:space="preserve"> </w:t>
      </w:r>
    </w:p>
    <w:p w:rsidR="00F97C75" w:rsidRDefault="00F97C75">
      <w:pPr>
        <w:rPr>
          <w:rFonts w:ascii="Comic Sans MS" w:hAnsi="Comic Sans MS"/>
          <w:sz w:val="28"/>
          <w:szCs w:val="28"/>
        </w:rPr>
      </w:pPr>
      <w:r>
        <w:rPr>
          <w:rFonts w:ascii="Comic Sans MS" w:hAnsi="Comic Sans MS"/>
        </w:rPr>
        <w:t>4-</w:t>
      </w:r>
      <w:r w:rsidRPr="00F97C75">
        <w:rPr>
          <w:rFonts w:ascii="Comic Sans MS" w:hAnsi="Comic Sans MS"/>
          <w:sz w:val="28"/>
          <w:szCs w:val="28"/>
        </w:rPr>
        <w:t>Identi</w:t>
      </w:r>
      <w:r>
        <w:rPr>
          <w:rFonts w:ascii="Comic Sans MS" w:hAnsi="Comic Sans MS"/>
          <w:sz w:val="28"/>
          <w:szCs w:val="28"/>
        </w:rPr>
        <w:t xml:space="preserve">ficar los pacientes ingresados con mayor riesgo de mortalidad partiendo de la edad, factores de riesgo tradicionales como hipertensión, diabetes, cardiopatía isquémica preexistente, arritmias y su status cardiovascular integral lo cual va a contribuir a la adopción de una observación priorizada y medidas </w:t>
      </w:r>
      <w:r w:rsidR="00BF1454">
        <w:rPr>
          <w:rFonts w:ascii="Comic Sans MS" w:hAnsi="Comic Sans MS"/>
          <w:sz w:val="28"/>
          <w:szCs w:val="28"/>
        </w:rPr>
        <w:t>específicas</w:t>
      </w:r>
      <w:r>
        <w:rPr>
          <w:rFonts w:ascii="Comic Sans MS" w:hAnsi="Comic Sans MS"/>
          <w:sz w:val="28"/>
          <w:szCs w:val="28"/>
        </w:rPr>
        <w:t xml:space="preserve"> de tratamiento. En este punto el cardiólogo tiene mucho que aportar en la discusiones colectivas por lo cual incluimos en este documento elementos de la evidencia internacional.</w:t>
      </w:r>
    </w:p>
    <w:p w:rsidR="00BF1454" w:rsidRDefault="00BF1454">
      <w:pPr>
        <w:rPr>
          <w:rFonts w:ascii="Comic Sans MS" w:hAnsi="Comic Sans MS"/>
          <w:sz w:val="28"/>
          <w:szCs w:val="28"/>
        </w:rPr>
      </w:pPr>
      <w:r>
        <w:rPr>
          <w:rFonts w:ascii="Comic Sans MS" w:hAnsi="Comic Sans MS"/>
          <w:sz w:val="28"/>
          <w:szCs w:val="28"/>
        </w:rPr>
        <w:t>5-</w:t>
      </w:r>
      <w:r w:rsidR="00EF180F">
        <w:rPr>
          <w:rFonts w:ascii="Comic Sans MS" w:hAnsi="Comic Sans MS"/>
          <w:sz w:val="28"/>
          <w:szCs w:val="28"/>
        </w:rPr>
        <w:t xml:space="preserve">Diagnóstico preciso de la isquemia miocárdica aguda que aparece generalmente en pacientes con diagnóstico previo de cardiopatía </w:t>
      </w:r>
      <w:r w:rsidR="00EF180F">
        <w:rPr>
          <w:rFonts w:ascii="Comic Sans MS" w:hAnsi="Comic Sans MS"/>
          <w:sz w:val="28"/>
          <w:szCs w:val="28"/>
        </w:rPr>
        <w:lastRenderedPageBreak/>
        <w:t>isquémica pero que puede también aparecer en pacientes con enfermedad ateroesclerótica subclínica y que por diversos mecanismos que se señalan aquí en un estado de respuesta inflamatoria sistémica puede manifestarse en este subgrupo. Llama la atención que en los primeros reportes se plantea un diagnóstico de isquemia aguda como principal manifestación cardiovascular.</w:t>
      </w:r>
    </w:p>
    <w:p w:rsidR="00EF180F" w:rsidRDefault="00EF180F">
      <w:pPr>
        <w:rPr>
          <w:rFonts w:ascii="Comic Sans MS" w:hAnsi="Comic Sans MS"/>
          <w:sz w:val="28"/>
          <w:szCs w:val="28"/>
        </w:rPr>
      </w:pPr>
      <w:r>
        <w:rPr>
          <w:rFonts w:ascii="Comic Sans MS" w:hAnsi="Comic Sans MS"/>
          <w:sz w:val="28"/>
          <w:szCs w:val="28"/>
        </w:rPr>
        <w:t>6-</w:t>
      </w:r>
      <w:r w:rsidR="001759B8">
        <w:rPr>
          <w:rFonts w:ascii="Comic Sans MS" w:hAnsi="Comic Sans MS"/>
          <w:sz w:val="28"/>
          <w:szCs w:val="28"/>
        </w:rPr>
        <w:t xml:space="preserve">El papel fundamental de participación del cardiólogo en el equipo de tratamiento del COVID-19 es como interconsultante en la zona amarilla no obstante las características y dinámica de los diferentes locaciones pueden generar acciones adicionales como realización o interpretación de </w:t>
      </w:r>
      <w:r w:rsidR="000121B9">
        <w:rPr>
          <w:rFonts w:ascii="Comic Sans MS" w:hAnsi="Comic Sans MS"/>
          <w:sz w:val="28"/>
          <w:szCs w:val="28"/>
        </w:rPr>
        <w:t>electro y ecocardiogramas,</w:t>
      </w:r>
      <w:r w:rsidR="001759B8">
        <w:rPr>
          <w:rFonts w:ascii="Comic Sans MS" w:hAnsi="Comic Sans MS"/>
          <w:sz w:val="28"/>
          <w:szCs w:val="28"/>
        </w:rPr>
        <w:t xml:space="preserve"> valoraciones hemodinámicas mixtas complejas o discusiones multidisciplinarias que podrían determinar una modificación de la integración del cardiólogo a los equipos en zona roja.</w:t>
      </w:r>
    </w:p>
    <w:p w:rsidR="000121B9" w:rsidRDefault="001759B8">
      <w:pPr>
        <w:rPr>
          <w:rFonts w:ascii="Comic Sans MS" w:hAnsi="Comic Sans MS"/>
          <w:sz w:val="28"/>
          <w:szCs w:val="28"/>
        </w:rPr>
      </w:pPr>
      <w:r>
        <w:rPr>
          <w:rFonts w:ascii="Comic Sans MS" w:hAnsi="Comic Sans MS"/>
          <w:sz w:val="28"/>
          <w:szCs w:val="28"/>
        </w:rPr>
        <w:t xml:space="preserve">7-El Grupo Nacional trabaja </w:t>
      </w:r>
      <w:r w:rsidR="00C71C0A">
        <w:rPr>
          <w:rFonts w:ascii="Comic Sans MS" w:hAnsi="Comic Sans MS"/>
          <w:sz w:val="28"/>
          <w:szCs w:val="28"/>
        </w:rPr>
        <w:t xml:space="preserve">simultáneamente en recomendaciones para el MINSAP de </w:t>
      </w:r>
      <w:r w:rsidR="00034C27">
        <w:rPr>
          <w:rFonts w:ascii="Comic Sans MS" w:hAnsi="Comic Sans MS"/>
          <w:sz w:val="28"/>
          <w:szCs w:val="28"/>
        </w:rPr>
        <w:t>cómo</w:t>
      </w:r>
      <w:r w:rsidR="00C71C0A">
        <w:rPr>
          <w:rFonts w:ascii="Comic Sans MS" w:hAnsi="Comic Sans MS"/>
          <w:sz w:val="28"/>
          <w:szCs w:val="28"/>
        </w:rPr>
        <w:t xml:space="preserve"> mantener los niveles de atención cardiovascular en la fase de recuperación o de normalidad con prevalencia del COVID-19</w:t>
      </w:r>
      <w:r w:rsidR="0040723E">
        <w:rPr>
          <w:rFonts w:ascii="Comic Sans MS" w:hAnsi="Comic Sans MS"/>
          <w:sz w:val="28"/>
          <w:szCs w:val="28"/>
        </w:rPr>
        <w:t xml:space="preserve"> dada la elevada presión asistencial</w:t>
      </w:r>
      <w:r w:rsidR="000121B9">
        <w:rPr>
          <w:rFonts w:ascii="Comic Sans MS" w:hAnsi="Comic Sans MS"/>
          <w:sz w:val="28"/>
          <w:szCs w:val="28"/>
        </w:rPr>
        <w:t xml:space="preserve"> de las enfermedades cardiovasculares</w:t>
      </w:r>
      <w:r w:rsidR="0040723E">
        <w:rPr>
          <w:rFonts w:ascii="Comic Sans MS" w:hAnsi="Comic Sans MS"/>
          <w:sz w:val="28"/>
          <w:szCs w:val="28"/>
        </w:rPr>
        <w:t xml:space="preserve">. </w:t>
      </w:r>
    </w:p>
    <w:p w:rsidR="001759B8" w:rsidRDefault="00942C29">
      <w:pPr>
        <w:rPr>
          <w:rFonts w:ascii="Comic Sans MS" w:hAnsi="Comic Sans MS"/>
          <w:sz w:val="28"/>
          <w:szCs w:val="28"/>
        </w:rPr>
      </w:pPr>
      <w:r>
        <w:rPr>
          <w:rFonts w:ascii="Comic Sans MS" w:hAnsi="Comic Sans MS"/>
          <w:sz w:val="28"/>
          <w:szCs w:val="28"/>
        </w:rPr>
        <w:t xml:space="preserve">Existen antecedentes de asociación entre la infección viral y un riesgo elevado de síndrome coronario agudo. Estudios epidemiológicos han demostrado que la hospitalización por neumonía se asocia a un alto riesgo de eventos </w:t>
      </w:r>
      <w:r w:rsidR="00FA5AD8">
        <w:rPr>
          <w:rFonts w:ascii="Comic Sans MS" w:hAnsi="Comic Sans MS"/>
          <w:sz w:val="28"/>
          <w:szCs w:val="28"/>
        </w:rPr>
        <w:t>ateroescleróticos</w:t>
      </w:r>
      <w:r>
        <w:rPr>
          <w:rFonts w:ascii="Comic Sans MS" w:hAnsi="Comic Sans MS"/>
          <w:sz w:val="28"/>
          <w:szCs w:val="28"/>
        </w:rPr>
        <w:t xml:space="preserve"> oclusivos. La prevención de la infección viral reduce el riesgo de los mismos por lo cual las </w:t>
      </w:r>
      <w:r w:rsidR="00FA5AD8">
        <w:rPr>
          <w:rFonts w:ascii="Comic Sans MS" w:hAnsi="Comic Sans MS"/>
          <w:sz w:val="28"/>
          <w:szCs w:val="28"/>
        </w:rPr>
        <w:t>guías</w:t>
      </w:r>
      <w:r>
        <w:rPr>
          <w:rFonts w:ascii="Comic Sans MS" w:hAnsi="Comic Sans MS"/>
          <w:sz w:val="28"/>
          <w:szCs w:val="28"/>
        </w:rPr>
        <w:t xml:space="preserve"> principales de SCA e IC promueve la vacunación contra la influenza o neumococos sin embargo esta recomendación no es siempre seguida.</w:t>
      </w:r>
      <w:r w:rsidR="00BF324A">
        <w:rPr>
          <w:rFonts w:ascii="Comic Sans MS" w:hAnsi="Comic Sans MS"/>
          <w:sz w:val="28"/>
          <w:szCs w:val="28"/>
        </w:rPr>
        <w:t xml:space="preserve"> Las epidemias </w:t>
      </w:r>
      <w:r w:rsidR="00FA5AD8">
        <w:rPr>
          <w:rFonts w:ascii="Comic Sans MS" w:hAnsi="Comic Sans MS"/>
          <w:sz w:val="28"/>
          <w:szCs w:val="28"/>
        </w:rPr>
        <w:t>previas de</w:t>
      </w:r>
      <w:r w:rsidR="00BF324A">
        <w:rPr>
          <w:rFonts w:ascii="Comic Sans MS" w:hAnsi="Comic Sans MS"/>
          <w:sz w:val="28"/>
          <w:szCs w:val="28"/>
        </w:rPr>
        <w:t xml:space="preserve"> influenza </w:t>
      </w:r>
      <w:r w:rsidR="00FA5AD8">
        <w:rPr>
          <w:rFonts w:ascii="Comic Sans MS" w:hAnsi="Comic Sans MS"/>
          <w:sz w:val="28"/>
          <w:szCs w:val="28"/>
        </w:rPr>
        <w:t>con infecciones</w:t>
      </w:r>
      <w:r w:rsidR="00BF324A">
        <w:rPr>
          <w:rFonts w:ascii="Comic Sans MS" w:hAnsi="Comic Sans MS"/>
          <w:sz w:val="28"/>
          <w:szCs w:val="28"/>
        </w:rPr>
        <w:t xml:space="preserve"> por el SARS-CoV</w:t>
      </w:r>
      <w:r>
        <w:rPr>
          <w:rFonts w:ascii="Comic Sans MS" w:hAnsi="Comic Sans MS"/>
          <w:sz w:val="28"/>
          <w:szCs w:val="28"/>
        </w:rPr>
        <w:t xml:space="preserve"> </w:t>
      </w:r>
      <w:r w:rsidR="00BF324A">
        <w:rPr>
          <w:rFonts w:ascii="Comic Sans MS" w:hAnsi="Comic Sans MS"/>
          <w:sz w:val="28"/>
          <w:szCs w:val="28"/>
        </w:rPr>
        <w:t>y la MERS se asociaron con taquicardia, arritmias severas, paro cardiaco, afectación diastólica subclínica e insuficiencia cardiaca.</w:t>
      </w:r>
      <w:r w:rsidR="00C71C0A">
        <w:rPr>
          <w:rFonts w:ascii="Comic Sans MS" w:hAnsi="Comic Sans MS"/>
          <w:sz w:val="28"/>
          <w:szCs w:val="28"/>
        </w:rPr>
        <w:t xml:space="preserve"> </w:t>
      </w:r>
    </w:p>
    <w:p w:rsidR="00BF324A" w:rsidRDefault="00BF324A">
      <w:pPr>
        <w:rPr>
          <w:rFonts w:ascii="Comic Sans MS" w:hAnsi="Comic Sans MS"/>
          <w:sz w:val="28"/>
          <w:szCs w:val="28"/>
        </w:rPr>
      </w:pPr>
      <w:r>
        <w:rPr>
          <w:rFonts w:ascii="Comic Sans MS" w:hAnsi="Comic Sans MS"/>
          <w:sz w:val="28"/>
          <w:szCs w:val="28"/>
        </w:rPr>
        <w:t>La pandemia por COVID-19 se ha expandido rápidamente debido a su alta contagiosidad</w:t>
      </w:r>
      <w:r w:rsidR="00FA5AD8">
        <w:rPr>
          <w:rFonts w:ascii="Comic Sans MS" w:hAnsi="Comic Sans MS"/>
          <w:sz w:val="28"/>
          <w:szCs w:val="28"/>
        </w:rPr>
        <w:t xml:space="preserve"> aun en asintomáticos</w:t>
      </w:r>
      <w:r w:rsidR="001909D6">
        <w:rPr>
          <w:rFonts w:ascii="Comic Sans MS" w:hAnsi="Comic Sans MS"/>
          <w:sz w:val="28"/>
          <w:szCs w:val="28"/>
        </w:rPr>
        <w:t xml:space="preserve"> y</w:t>
      </w:r>
      <w:r>
        <w:rPr>
          <w:rFonts w:ascii="Comic Sans MS" w:hAnsi="Comic Sans MS"/>
          <w:sz w:val="28"/>
          <w:szCs w:val="28"/>
        </w:rPr>
        <w:t xml:space="preserve"> la interconexión global o </w:t>
      </w:r>
      <w:r w:rsidR="00FA5AD8">
        <w:rPr>
          <w:rFonts w:ascii="Comic Sans MS" w:hAnsi="Comic Sans MS"/>
          <w:sz w:val="28"/>
          <w:szCs w:val="28"/>
        </w:rPr>
        <w:t>globalización.</w:t>
      </w:r>
    </w:p>
    <w:p w:rsidR="00FA5AD8" w:rsidRDefault="00FA5AD8">
      <w:pPr>
        <w:rPr>
          <w:rFonts w:ascii="Comic Sans MS" w:hAnsi="Comic Sans MS"/>
          <w:sz w:val="28"/>
          <w:szCs w:val="28"/>
        </w:rPr>
      </w:pPr>
      <w:r>
        <w:rPr>
          <w:rFonts w:ascii="Comic Sans MS" w:hAnsi="Comic Sans MS"/>
          <w:sz w:val="28"/>
          <w:szCs w:val="28"/>
        </w:rPr>
        <w:t xml:space="preserve"> La edad media de los pacientes con SARS-CoV-2 es entre 47-56 años siendo hombres más de la mitad. No obstante hay evidencia suficiente que demuestra que los grupos de 60 años y más con presencia de comorbilidades tienen mayor morbimortalidad</w:t>
      </w:r>
    </w:p>
    <w:p w:rsidR="00096BC1" w:rsidRDefault="00FA5AD8">
      <w:pPr>
        <w:rPr>
          <w:rFonts w:ascii="Comic Sans MS" w:hAnsi="Comic Sans MS"/>
          <w:sz w:val="28"/>
          <w:szCs w:val="28"/>
        </w:rPr>
      </w:pPr>
      <w:r>
        <w:rPr>
          <w:rFonts w:ascii="Comic Sans MS" w:hAnsi="Comic Sans MS"/>
          <w:sz w:val="28"/>
          <w:szCs w:val="28"/>
        </w:rPr>
        <w:t xml:space="preserve">Un estudio retrospectivo realizado en Wuhan que los pacientes que no sobrevivieron tenían una edad media de 69 años y la hipertensión era la comorbilidad </w:t>
      </w:r>
      <w:r w:rsidR="00F240C4">
        <w:rPr>
          <w:rFonts w:ascii="Comic Sans MS" w:hAnsi="Comic Sans MS"/>
          <w:sz w:val="28"/>
          <w:szCs w:val="28"/>
        </w:rPr>
        <w:t>más</w:t>
      </w:r>
      <w:r>
        <w:rPr>
          <w:rFonts w:ascii="Comic Sans MS" w:hAnsi="Comic Sans MS"/>
          <w:sz w:val="28"/>
          <w:szCs w:val="28"/>
        </w:rPr>
        <w:t xml:space="preserve"> frecuente</w:t>
      </w:r>
      <w:r w:rsidR="00096BC1">
        <w:rPr>
          <w:rFonts w:ascii="Comic Sans MS" w:hAnsi="Comic Sans MS"/>
          <w:sz w:val="28"/>
          <w:szCs w:val="28"/>
        </w:rPr>
        <w:t xml:space="preserve"> con un 48% seguido por la diabetes con un 31% y la cardiopatía isquémica con un 24%. En Italia el Italian Health Institute reporto en marzo que en 2003 pacientes con una edad media de 79.5 y una media de 2.7 comorbilidades por paciente siendo al igual que en China la hipertensión la </w:t>
      </w:r>
      <w:r w:rsidR="00F240C4">
        <w:rPr>
          <w:rFonts w:ascii="Comic Sans MS" w:hAnsi="Comic Sans MS"/>
          <w:sz w:val="28"/>
          <w:szCs w:val="28"/>
        </w:rPr>
        <w:t>más</w:t>
      </w:r>
      <w:r w:rsidR="00096BC1">
        <w:rPr>
          <w:rFonts w:ascii="Comic Sans MS" w:hAnsi="Comic Sans MS"/>
          <w:sz w:val="28"/>
          <w:szCs w:val="28"/>
        </w:rPr>
        <w:t xml:space="preserve"> prevalente con un 76.1%, la diabetes con un 35.5% y la cardiopatía isquémica con 33.3%. Es un hecho reconocido la alta prevalencia de la hipertensión entre los adultos mayores que en nuestro </w:t>
      </w:r>
      <w:r w:rsidR="00F240C4">
        <w:rPr>
          <w:rFonts w:ascii="Comic Sans MS" w:hAnsi="Comic Sans MS"/>
          <w:sz w:val="28"/>
          <w:szCs w:val="28"/>
        </w:rPr>
        <w:t>país</w:t>
      </w:r>
      <w:r w:rsidR="00096BC1">
        <w:rPr>
          <w:rFonts w:ascii="Comic Sans MS" w:hAnsi="Comic Sans MS"/>
          <w:sz w:val="28"/>
          <w:szCs w:val="28"/>
        </w:rPr>
        <w:t xml:space="preserve"> alcanza alrededor de 55% según el anuario del 2018.</w:t>
      </w:r>
    </w:p>
    <w:p w:rsidR="00EB24C4" w:rsidRDefault="00EB24C4">
      <w:pPr>
        <w:rPr>
          <w:rFonts w:ascii="Comic Sans MS" w:hAnsi="Comic Sans MS"/>
          <w:sz w:val="28"/>
          <w:szCs w:val="28"/>
        </w:rPr>
      </w:pPr>
      <w:r>
        <w:rPr>
          <w:rFonts w:ascii="Comic Sans MS" w:hAnsi="Comic Sans MS"/>
          <w:sz w:val="28"/>
          <w:szCs w:val="28"/>
        </w:rPr>
        <w:t>Estas comorbilidades influyen directa y significativamente en la mortalidad por COVID-19. El reporte de metanalisis chino del 2020 con 44672 pacientes la mortalidad en la cohorte total fue de 2.3% pero fue mayor en hipertensos 6%, 7.3% en diabéticos y 10.5% en pacientes cardiópatas.</w:t>
      </w:r>
    </w:p>
    <w:p w:rsidR="00F240C4" w:rsidRDefault="00EB24C4">
      <w:pPr>
        <w:rPr>
          <w:rFonts w:ascii="Comic Sans MS" w:hAnsi="Comic Sans MS"/>
          <w:sz w:val="28"/>
          <w:szCs w:val="28"/>
        </w:rPr>
      </w:pPr>
      <w:r>
        <w:rPr>
          <w:rFonts w:ascii="Comic Sans MS" w:hAnsi="Comic Sans MS"/>
          <w:sz w:val="28"/>
          <w:szCs w:val="28"/>
        </w:rPr>
        <w:t>Estos pacientes cardiópatas previos tuvieron un incremento crecientes de los niveles de troponina</w:t>
      </w:r>
      <w:r w:rsidR="00F240C4">
        <w:rPr>
          <w:rFonts w:ascii="Comic Sans MS" w:hAnsi="Comic Sans MS"/>
          <w:sz w:val="28"/>
          <w:szCs w:val="28"/>
        </w:rPr>
        <w:t xml:space="preserve"> por lo cual la elevación</w:t>
      </w:r>
      <w:r>
        <w:rPr>
          <w:rFonts w:ascii="Comic Sans MS" w:hAnsi="Comic Sans MS"/>
          <w:sz w:val="28"/>
          <w:szCs w:val="28"/>
        </w:rPr>
        <w:t xml:space="preserve"> </w:t>
      </w:r>
      <w:r w:rsidR="00F240C4">
        <w:rPr>
          <w:rFonts w:ascii="Comic Sans MS" w:hAnsi="Comic Sans MS"/>
          <w:sz w:val="28"/>
          <w:szCs w:val="28"/>
        </w:rPr>
        <w:t>de troponina se asocia con enfermedad severa y mal pronóstico. Los mecanismos para esta elevación no están totalmente esclarecidos pero probablemente reflejan un daño miocárdico y no una isquemia.</w:t>
      </w:r>
    </w:p>
    <w:p w:rsidR="00F240C4" w:rsidRDefault="00F240C4">
      <w:pPr>
        <w:rPr>
          <w:rFonts w:ascii="Comic Sans MS" w:hAnsi="Comic Sans MS"/>
          <w:sz w:val="28"/>
          <w:szCs w:val="28"/>
        </w:rPr>
      </w:pPr>
    </w:p>
    <w:p w:rsidR="00F240C4" w:rsidRDefault="00F240C4">
      <w:pPr>
        <w:rPr>
          <w:rFonts w:ascii="Comic Sans MS" w:hAnsi="Comic Sans MS"/>
          <w:sz w:val="28"/>
          <w:szCs w:val="28"/>
        </w:rPr>
      </w:pPr>
      <w:r>
        <w:rPr>
          <w:rFonts w:ascii="Comic Sans MS" w:hAnsi="Comic Sans MS"/>
          <w:noProof/>
          <w:sz w:val="28"/>
          <w:szCs w:val="28"/>
          <w:lang w:val="es-ES" w:eastAsia="es-ES"/>
        </w:rPr>
        <w:drawing>
          <wp:inline distT="0" distB="0" distL="0" distR="0">
            <wp:extent cx="5334000" cy="2838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ponina y mortalidad.jpg"/>
                    <pic:cNvPicPr/>
                  </pic:nvPicPr>
                  <pic:blipFill>
                    <a:blip r:embed="rId5">
                      <a:extLst>
                        <a:ext uri="{28A0092B-C50C-407E-A947-70E740481C1C}">
                          <a14:useLocalDpi xmlns:a14="http://schemas.microsoft.com/office/drawing/2010/main" val="0"/>
                        </a:ext>
                      </a:extLst>
                    </a:blip>
                    <a:stretch>
                      <a:fillRect/>
                    </a:stretch>
                  </pic:blipFill>
                  <pic:spPr>
                    <a:xfrm>
                      <a:off x="0" y="0"/>
                      <a:ext cx="5334000" cy="2838450"/>
                    </a:xfrm>
                    <a:prstGeom prst="rect">
                      <a:avLst/>
                    </a:prstGeom>
                  </pic:spPr>
                </pic:pic>
              </a:graphicData>
            </a:graphic>
          </wp:inline>
        </w:drawing>
      </w:r>
    </w:p>
    <w:p w:rsidR="006D540C" w:rsidRDefault="00F240C4">
      <w:pPr>
        <w:rPr>
          <w:rFonts w:ascii="Comic Sans MS" w:hAnsi="Comic Sans MS"/>
          <w:sz w:val="28"/>
          <w:szCs w:val="28"/>
        </w:rPr>
      </w:pPr>
      <w:r>
        <w:rPr>
          <w:rFonts w:ascii="Comic Sans MS" w:hAnsi="Comic Sans MS"/>
          <w:sz w:val="28"/>
          <w:szCs w:val="28"/>
        </w:rPr>
        <w:t>En un estudio retrospectivo de cohorte la Troponina I estaba significativamente elevada en 54 pacientes</w:t>
      </w:r>
      <w:r w:rsidR="006D540C">
        <w:rPr>
          <w:rFonts w:ascii="Comic Sans MS" w:hAnsi="Comic Sans MS"/>
          <w:sz w:val="28"/>
          <w:szCs w:val="28"/>
        </w:rPr>
        <w:t xml:space="preserve"> que murieron con respecto a 137 sobrevivientes. A su vez su incremento se relaciona con la severidad de la infección. Esto justifica su utilidad para la evaluación cardiovascular de los pacientes con Covid-19</w:t>
      </w:r>
      <w:r w:rsidR="00314E12">
        <w:rPr>
          <w:rFonts w:ascii="Comic Sans MS" w:hAnsi="Comic Sans MS"/>
          <w:sz w:val="28"/>
          <w:szCs w:val="28"/>
        </w:rPr>
        <w:t>.</w:t>
      </w:r>
    </w:p>
    <w:p w:rsidR="00314E12" w:rsidRDefault="00314E12" w:rsidP="00314E12">
      <w:pPr>
        <w:rPr>
          <w:rFonts w:ascii="Comic Sans MS" w:hAnsi="Comic Sans MS"/>
          <w:b/>
          <w:sz w:val="28"/>
          <w:szCs w:val="28"/>
        </w:rPr>
      </w:pPr>
      <w:r w:rsidRPr="001909D6">
        <w:rPr>
          <w:rFonts w:ascii="Comic Sans MS" w:hAnsi="Comic Sans MS"/>
          <w:b/>
          <w:sz w:val="28"/>
          <w:szCs w:val="28"/>
        </w:rPr>
        <w:t xml:space="preserve">Afectación </w:t>
      </w:r>
      <w:r>
        <w:rPr>
          <w:rFonts w:ascii="Comic Sans MS" w:hAnsi="Comic Sans MS"/>
          <w:b/>
          <w:sz w:val="28"/>
          <w:szCs w:val="28"/>
        </w:rPr>
        <w:t>miocárdica</w:t>
      </w:r>
    </w:p>
    <w:p w:rsidR="00314E12" w:rsidRDefault="00314E12" w:rsidP="00314E12">
      <w:pPr>
        <w:rPr>
          <w:rFonts w:ascii="Comic Sans MS" w:hAnsi="Comic Sans MS"/>
          <w:sz w:val="28"/>
          <w:szCs w:val="28"/>
        </w:rPr>
      </w:pPr>
      <w:r>
        <w:rPr>
          <w:rFonts w:ascii="Comic Sans MS" w:hAnsi="Comic Sans MS"/>
          <w:sz w:val="28"/>
          <w:szCs w:val="28"/>
        </w:rPr>
        <w:t>Es muy importante para el cardiólogo identificar el daño miocárdico porque puedes tener antecedentes de cardiopatía pero si no hay afectación miocárdica el pronóstico es favorable y esta a su vez se asocia a arritmias e insuficiencia cardiaca. Su frecuencia varía entre un 7 a un 28% influido por su definición y por el tipo y gravedad de los pacientes ingresados. Basados en determinaciones seriadas de troponina investigadores chinos reportan que el tiempo promedio para el desarrollo de la lesión cardiaca fue de 15 días después del inicio de la enfermedad ocurriendo generalmente tras la aparición del distress respiratorio. Otro estudio chino plantea que el daño miocárdico contribuye al 40% de las muertes en mayor o menor grado y un 7% es atribuido específicamente al fallo cardiaco sin fallo respiratorio.</w:t>
      </w:r>
    </w:p>
    <w:p w:rsidR="00314E12" w:rsidRDefault="00314E12" w:rsidP="00314E12">
      <w:pPr>
        <w:rPr>
          <w:rFonts w:ascii="Comic Sans MS" w:hAnsi="Comic Sans MS"/>
          <w:sz w:val="28"/>
          <w:szCs w:val="28"/>
        </w:rPr>
      </w:pPr>
      <w:r>
        <w:rPr>
          <w:rFonts w:ascii="Comic Sans MS" w:hAnsi="Comic Sans MS"/>
          <w:sz w:val="28"/>
          <w:szCs w:val="28"/>
        </w:rPr>
        <w:t>Cuáles son los mecanismos del daño miocárdico?</w:t>
      </w:r>
    </w:p>
    <w:p w:rsidR="00314E12" w:rsidRDefault="00314E12" w:rsidP="00314E12">
      <w:pPr>
        <w:rPr>
          <w:rFonts w:ascii="Comic Sans MS" w:hAnsi="Comic Sans MS"/>
          <w:sz w:val="28"/>
          <w:szCs w:val="28"/>
        </w:rPr>
      </w:pPr>
      <w:r>
        <w:rPr>
          <w:rFonts w:ascii="Comic Sans MS" w:hAnsi="Comic Sans MS"/>
          <w:sz w:val="28"/>
          <w:szCs w:val="28"/>
        </w:rPr>
        <w:t>Los mecanismos por los cuales la infección viral puede dañar las células miocárdicas pueden ser:</w:t>
      </w:r>
    </w:p>
    <w:p w:rsidR="00314E12" w:rsidRDefault="00314E12" w:rsidP="00314E12">
      <w:pPr>
        <w:pStyle w:val="Prrafodelista"/>
        <w:numPr>
          <w:ilvl w:val="0"/>
          <w:numId w:val="2"/>
        </w:numPr>
        <w:rPr>
          <w:rFonts w:ascii="Comic Sans MS" w:hAnsi="Comic Sans MS"/>
          <w:sz w:val="28"/>
          <w:szCs w:val="28"/>
        </w:rPr>
      </w:pPr>
      <w:r w:rsidRPr="00F53F88">
        <w:rPr>
          <w:rFonts w:ascii="Comic Sans MS" w:hAnsi="Comic Sans MS"/>
          <w:sz w:val="28"/>
          <w:szCs w:val="28"/>
        </w:rPr>
        <w:t xml:space="preserve">Afectación directa viral al miocardio </w:t>
      </w:r>
    </w:p>
    <w:p w:rsidR="00314E12" w:rsidRDefault="00314E12" w:rsidP="00314E12">
      <w:pPr>
        <w:pStyle w:val="Prrafodelista"/>
        <w:numPr>
          <w:ilvl w:val="0"/>
          <w:numId w:val="2"/>
        </w:numPr>
        <w:rPr>
          <w:rFonts w:ascii="Comic Sans MS" w:hAnsi="Comic Sans MS"/>
          <w:sz w:val="28"/>
          <w:szCs w:val="28"/>
        </w:rPr>
      </w:pPr>
      <w:r>
        <w:rPr>
          <w:rFonts w:ascii="Comic Sans MS" w:hAnsi="Comic Sans MS"/>
          <w:sz w:val="28"/>
          <w:szCs w:val="28"/>
        </w:rPr>
        <w:t>Vasculitis mediada por la infección</w:t>
      </w:r>
    </w:p>
    <w:p w:rsidR="00314E12" w:rsidRDefault="00314E12" w:rsidP="00314E12">
      <w:pPr>
        <w:pStyle w:val="Prrafodelista"/>
        <w:numPr>
          <w:ilvl w:val="0"/>
          <w:numId w:val="2"/>
        </w:numPr>
        <w:rPr>
          <w:rFonts w:ascii="Comic Sans MS" w:hAnsi="Comic Sans MS"/>
          <w:sz w:val="28"/>
          <w:szCs w:val="28"/>
        </w:rPr>
      </w:pPr>
      <w:r>
        <w:rPr>
          <w:rFonts w:ascii="Comic Sans MS" w:hAnsi="Comic Sans MS"/>
          <w:sz w:val="28"/>
          <w:szCs w:val="28"/>
        </w:rPr>
        <w:t>Lesión microvascular por microtrombos en la vasculatura miocárdica por CID.(Hiperinflamacion e activación inmune)</w:t>
      </w:r>
    </w:p>
    <w:p w:rsidR="00314E12" w:rsidRDefault="00314E12" w:rsidP="00314E12">
      <w:pPr>
        <w:pStyle w:val="Prrafodelista"/>
        <w:numPr>
          <w:ilvl w:val="0"/>
          <w:numId w:val="2"/>
        </w:numPr>
        <w:rPr>
          <w:rFonts w:ascii="Comic Sans MS" w:hAnsi="Comic Sans MS"/>
          <w:sz w:val="28"/>
          <w:szCs w:val="28"/>
        </w:rPr>
      </w:pPr>
      <w:r>
        <w:rPr>
          <w:rFonts w:ascii="Comic Sans MS" w:hAnsi="Comic Sans MS"/>
          <w:sz w:val="28"/>
          <w:szCs w:val="28"/>
        </w:rPr>
        <w:t>Hipoxia y trastornos electrolíticos</w:t>
      </w:r>
    </w:p>
    <w:p w:rsidR="00314E12" w:rsidRDefault="00314E12" w:rsidP="00314E12">
      <w:pPr>
        <w:pStyle w:val="Prrafodelista"/>
        <w:numPr>
          <w:ilvl w:val="0"/>
          <w:numId w:val="2"/>
        </w:numPr>
        <w:rPr>
          <w:rFonts w:ascii="Comic Sans MS" w:hAnsi="Comic Sans MS"/>
          <w:sz w:val="28"/>
          <w:szCs w:val="28"/>
        </w:rPr>
      </w:pPr>
      <w:r>
        <w:rPr>
          <w:rFonts w:ascii="Comic Sans MS" w:hAnsi="Comic Sans MS"/>
          <w:sz w:val="28"/>
          <w:szCs w:val="28"/>
        </w:rPr>
        <w:t>Ruptura de placa epicardica con incidencia de síndrome coronario agudo. La literatura actual revisada no lograr definir la incidencia por el bajo índice de necropsias y el fallo multiorganico.</w:t>
      </w:r>
    </w:p>
    <w:p w:rsidR="00314E12" w:rsidRDefault="00314E12" w:rsidP="00314E12">
      <w:pPr>
        <w:pStyle w:val="Prrafodelista"/>
        <w:numPr>
          <w:ilvl w:val="0"/>
          <w:numId w:val="2"/>
        </w:numPr>
        <w:rPr>
          <w:rFonts w:ascii="Comic Sans MS" w:hAnsi="Comic Sans MS"/>
          <w:sz w:val="28"/>
          <w:szCs w:val="28"/>
        </w:rPr>
      </w:pPr>
      <w:r>
        <w:rPr>
          <w:rFonts w:ascii="Comic Sans MS" w:hAnsi="Comic Sans MS"/>
          <w:sz w:val="28"/>
          <w:szCs w:val="28"/>
        </w:rPr>
        <w:t>Daño del endotelio y las citoquinas inflamatorias IL-6 y TNF modifican expresión de factores tisulares llevando a un estado protrombotico.</w:t>
      </w:r>
    </w:p>
    <w:p w:rsidR="00314E12" w:rsidRDefault="00314E12" w:rsidP="00314E12">
      <w:pPr>
        <w:pStyle w:val="Prrafodelista"/>
        <w:rPr>
          <w:rFonts w:ascii="Comic Sans MS" w:hAnsi="Comic Sans MS"/>
          <w:sz w:val="28"/>
          <w:szCs w:val="28"/>
        </w:rPr>
      </w:pPr>
      <w:r>
        <w:rPr>
          <w:rFonts w:ascii="Comic Sans MS" w:hAnsi="Comic Sans MS"/>
          <w:sz w:val="28"/>
          <w:szCs w:val="28"/>
        </w:rPr>
        <w:t>Este estado inflamatorio con altos niveles de Proteína C Reactiva, TNFµ, Interleukina IL-2R, Ferritina, Dímero-D con el óxido nítrico como mediador de la depresión miocárdica en estados de sepsis ha sido identificado en la miocarditis por esta entidad.</w:t>
      </w:r>
    </w:p>
    <w:p w:rsidR="00314E12" w:rsidRDefault="00314E12" w:rsidP="00314E12">
      <w:pPr>
        <w:pStyle w:val="Prrafodelista"/>
        <w:rPr>
          <w:rFonts w:ascii="Comic Sans MS" w:hAnsi="Comic Sans MS"/>
          <w:sz w:val="28"/>
          <w:szCs w:val="28"/>
        </w:rPr>
      </w:pPr>
      <w:r>
        <w:rPr>
          <w:rFonts w:ascii="Comic Sans MS" w:hAnsi="Comic Sans MS"/>
          <w:sz w:val="28"/>
          <w:szCs w:val="28"/>
        </w:rPr>
        <w:t>Hay un estudio con cultivos de cardiomiocitos en ratas que demuestra disminución de la contractilidad cuando se exponen a IL-6 que modula la actividad de los canales de calcio.</w:t>
      </w:r>
    </w:p>
    <w:p w:rsidR="00314E12" w:rsidRDefault="00314E12" w:rsidP="00314E12">
      <w:pPr>
        <w:pStyle w:val="Prrafodelista"/>
        <w:rPr>
          <w:rFonts w:ascii="Comic Sans MS" w:hAnsi="Comic Sans MS"/>
          <w:sz w:val="28"/>
          <w:szCs w:val="28"/>
        </w:rPr>
      </w:pPr>
      <w:r>
        <w:rPr>
          <w:rFonts w:ascii="Comic Sans MS" w:hAnsi="Comic Sans MS"/>
          <w:sz w:val="28"/>
          <w:szCs w:val="28"/>
        </w:rPr>
        <w:t>A su vez el papel de la inflamación en la progresión y desarrollo de la ateroesclerosis está bien establecido y sus mediadores pueden provocar inflamación arterial localizada a nivel de las placas coronarias.</w:t>
      </w:r>
    </w:p>
    <w:p w:rsidR="00314E12" w:rsidRDefault="00314E12" w:rsidP="00314E12">
      <w:pPr>
        <w:rPr>
          <w:rFonts w:ascii="Comic Sans MS" w:hAnsi="Comic Sans MS"/>
        </w:rPr>
      </w:pPr>
      <w:r>
        <w:rPr>
          <w:rFonts w:ascii="Comic Sans MS" w:hAnsi="Comic Sans MS"/>
          <w:sz w:val="28"/>
          <w:szCs w:val="28"/>
        </w:rPr>
        <w:t>El diagnóstico del daño miocárdico se establece en base a:</w:t>
      </w:r>
      <w:r>
        <w:rPr>
          <w:rFonts w:ascii="Comic Sans MS" w:hAnsi="Comic Sans MS"/>
        </w:rPr>
        <w:t xml:space="preserve">   </w:t>
      </w:r>
    </w:p>
    <w:p w:rsidR="00314E12" w:rsidRPr="00CF1AA5" w:rsidRDefault="00314E12" w:rsidP="00314E12">
      <w:pPr>
        <w:jc w:val="both"/>
        <w:rPr>
          <w:rFonts w:ascii="Comic Sans MS" w:hAnsi="Comic Sans MS"/>
          <w:sz w:val="28"/>
          <w:szCs w:val="28"/>
        </w:rPr>
      </w:pPr>
      <w:r w:rsidRPr="00CF1AA5">
        <w:rPr>
          <w:rFonts w:ascii="Comic Sans MS" w:hAnsi="Comic Sans MS"/>
          <w:sz w:val="28"/>
          <w:szCs w:val="28"/>
        </w:rPr>
        <w:t xml:space="preserve">    1-Cambios electrocardiográficos que sugieren lesión miocárdica con </w:t>
      </w:r>
      <w:r w:rsidR="00B1574F" w:rsidRPr="00CF1AA5">
        <w:rPr>
          <w:rFonts w:ascii="Comic Sans MS" w:hAnsi="Comic Sans MS"/>
          <w:sz w:val="28"/>
          <w:szCs w:val="28"/>
        </w:rPr>
        <w:t>elevación del</w:t>
      </w:r>
      <w:r w:rsidRPr="00CF1AA5">
        <w:rPr>
          <w:rFonts w:ascii="Comic Sans MS" w:hAnsi="Comic Sans MS"/>
          <w:sz w:val="28"/>
          <w:szCs w:val="28"/>
        </w:rPr>
        <w:t xml:space="preserve"> ST en forma difusa con patrón de lesión </w:t>
      </w:r>
    </w:p>
    <w:p w:rsidR="00314E12" w:rsidRPr="00CF1AA5" w:rsidRDefault="00314E12" w:rsidP="00314E12">
      <w:pPr>
        <w:jc w:val="both"/>
        <w:rPr>
          <w:rFonts w:ascii="Comic Sans MS" w:hAnsi="Comic Sans MS"/>
          <w:sz w:val="28"/>
          <w:szCs w:val="28"/>
        </w:rPr>
      </w:pPr>
      <w:r w:rsidRPr="00CF1AA5">
        <w:rPr>
          <w:rFonts w:ascii="Comic Sans MS" w:hAnsi="Comic Sans MS"/>
          <w:sz w:val="28"/>
          <w:szCs w:val="28"/>
        </w:rPr>
        <w:t xml:space="preserve">   2-Cardiomegalia en el Rx de tórax con un índice cardiotorácico de 0.70 o más</w:t>
      </w:r>
    </w:p>
    <w:p w:rsidR="00314E12" w:rsidRPr="00CF1AA5" w:rsidRDefault="00314E12" w:rsidP="00314E12">
      <w:pPr>
        <w:rPr>
          <w:rFonts w:ascii="Comic Sans MS" w:hAnsi="Comic Sans MS"/>
          <w:sz w:val="28"/>
          <w:szCs w:val="28"/>
        </w:rPr>
      </w:pPr>
      <w:r w:rsidRPr="00CF1AA5">
        <w:rPr>
          <w:rFonts w:ascii="Comic Sans MS" w:hAnsi="Comic Sans MS"/>
          <w:sz w:val="28"/>
          <w:szCs w:val="28"/>
        </w:rPr>
        <w:t xml:space="preserve">   3-TAC que demuestre cardiomegalia, neumonía y o derrame pleural </w:t>
      </w:r>
    </w:p>
    <w:p w:rsidR="00314E12" w:rsidRPr="00CF1AA5" w:rsidRDefault="00314E12" w:rsidP="00314E12">
      <w:pPr>
        <w:rPr>
          <w:rFonts w:ascii="Comic Sans MS" w:hAnsi="Comic Sans MS"/>
          <w:sz w:val="28"/>
          <w:szCs w:val="28"/>
        </w:rPr>
      </w:pPr>
      <w:r w:rsidRPr="00CF1AA5">
        <w:rPr>
          <w:rFonts w:ascii="Comic Sans MS" w:hAnsi="Comic Sans MS"/>
          <w:sz w:val="28"/>
          <w:szCs w:val="28"/>
        </w:rPr>
        <w:t xml:space="preserve">   4- TACMC con ausencia de lesiones coronarias </w:t>
      </w:r>
    </w:p>
    <w:p w:rsidR="00314E12" w:rsidRPr="00CF1AA5" w:rsidRDefault="00314E12" w:rsidP="00314E12">
      <w:pPr>
        <w:jc w:val="both"/>
        <w:rPr>
          <w:rFonts w:ascii="Comic Sans MS" w:hAnsi="Comic Sans MS"/>
          <w:sz w:val="28"/>
          <w:szCs w:val="28"/>
        </w:rPr>
      </w:pPr>
      <w:r w:rsidRPr="00CF1AA5">
        <w:rPr>
          <w:rFonts w:ascii="Comic Sans MS" w:hAnsi="Comic Sans MS"/>
          <w:sz w:val="28"/>
          <w:szCs w:val="28"/>
        </w:rPr>
        <w:t xml:space="preserve">    5- Biomarcadores miocárdicos Troponina T mayor de 10000 ng/l hay autores italianos qu</w:t>
      </w:r>
      <w:r>
        <w:rPr>
          <w:rFonts w:ascii="Comic Sans MS" w:hAnsi="Comic Sans MS"/>
          <w:sz w:val="28"/>
          <w:szCs w:val="28"/>
        </w:rPr>
        <w:t>e</w:t>
      </w:r>
      <w:r w:rsidRPr="00CF1AA5">
        <w:rPr>
          <w:rFonts w:ascii="Comic Sans MS" w:hAnsi="Comic Sans MS"/>
          <w:sz w:val="28"/>
          <w:szCs w:val="28"/>
        </w:rPr>
        <w:t xml:space="preserve"> proponen el criterio convencional de una elevación por encima del 99 percentil pero se afecta la especificidad. </w:t>
      </w:r>
      <w:r>
        <w:rPr>
          <w:rFonts w:ascii="Comic Sans MS" w:hAnsi="Comic Sans MS"/>
          <w:sz w:val="28"/>
          <w:szCs w:val="28"/>
        </w:rPr>
        <w:t>CK-MB</w:t>
      </w:r>
      <w:r w:rsidRPr="00CF1AA5">
        <w:rPr>
          <w:rFonts w:ascii="Comic Sans MS" w:hAnsi="Comic Sans MS"/>
          <w:sz w:val="28"/>
          <w:szCs w:val="28"/>
        </w:rPr>
        <w:t xml:space="preserve"> mayor de 12.9 ng/l </w:t>
      </w:r>
    </w:p>
    <w:p w:rsidR="00314E12" w:rsidRDefault="00314E12" w:rsidP="00314E12">
      <w:pPr>
        <w:jc w:val="both"/>
        <w:rPr>
          <w:rFonts w:ascii="Comic Sans MS" w:hAnsi="Comic Sans MS"/>
          <w:sz w:val="28"/>
          <w:szCs w:val="28"/>
        </w:rPr>
      </w:pPr>
      <w:r w:rsidRPr="00CF1AA5">
        <w:rPr>
          <w:rFonts w:ascii="Comic Sans MS" w:hAnsi="Comic Sans MS"/>
          <w:sz w:val="28"/>
          <w:szCs w:val="28"/>
        </w:rPr>
        <w:t xml:space="preserve">       6- Ecocardiograma con ventrículo izquierdo dilatado mayor de 58 mm, Aurícula izquierda mayor de 39 mm, Fracción de eyección de 27%, Ventrículo derecho mayor de 25 mm y derrame pericárdico asociado.</w:t>
      </w:r>
    </w:p>
    <w:p w:rsidR="00314E12" w:rsidRDefault="00314E12" w:rsidP="00314E12">
      <w:pPr>
        <w:jc w:val="both"/>
        <w:rPr>
          <w:rFonts w:ascii="Comic Sans MS" w:hAnsi="Comic Sans MS"/>
          <w:sz w:val="28"/>
          <w:szCs w:val="28"/>
        </w:rPr>
      </w:pPr>
      <w:r>
        <w:rPr>
          <w:rFonts w:ascii="Comic Sans MS" w:hAnsi="Comic Sans MS"/>
          <w:sz w:val="28"/>
          <w:szCs w:val="28"/>
        </w:rPr>
        <w:t>7- En los casos con síndrome coronario agudo por ruptura inflamatoria de placa el patrón de elevación del ST es localizado y el ecocardiograma muestra alteraciones de</w:t>
      </w:r>
      <w:r w:rsidR="00B1574F">
        <w:rPr>
          <w:rFonts w:ascii="Comic Sans MS" w:hAnsi="Comic Sans MS"/>
          <w:sz w:val="28"/>
          <w:szCs w:val="28"/>
        </w:rPr>
        <w:t xml:space="preserve"> la contractilidad segmentarias.</w:t>
      </w:r>
    </w:p>
    <w:p w:rsidR="00B1574F" w:rsidRDefault="00B1574F" w:rsidP="00B1574F">
      <w:pPr>
        <w:rPr>
          <w:rFonts w:ascii="Comic Sans MS" w:hAnsi="Comic Sans MS"/>
          <w:b/>
          <w:sz w:val="28"/>
          <w:szCs w:val="28"/>
        </w:rPr>
      </w:pPr>
      <w:r w:rsidRPr="005A57A2">
        <w:rPr>
          <w:rFonts w:ascii="Comic Sans MS" w:hAnsi="Comic Sans MS"/>
          <w:b/>
          <w:sz w:val="28"/>
          <w:szCs w:val="28"/>
        </w:rPr>
        <w:t>Arritmias inducidas por tratamientos del COVID-19</w:t>
      </w:r>
    </w:p>
    <w:p w:rsidR="00B1574F" w:rsidRDefault="00B1574F" w:rsidP="00B1574F">
      <w:pPr>
        <w:rPr>
          <w:rFonts w:ascii="Comic Sans MS" w:hAnsi="Comic Sans MS"/>
          <w:sz w:val="28"/>
          <w:szCs w:val="28"/>
        </w:rPr>
      </w:pPr>
      <w:r w:rsidRPr="005A57A2">
        <w:rPr>
          <w:rFonts w:ascii="Comic Sans MS" w:hAnsi="Comic Sans MS"/>
          <w:sz w:val="28"/>
          <w:szCs w:val="28"/>
        </w:rPr>
        <w:t xml:space="preserve">La utilización de </w:t>
      </w:r>
      <w:r>
        <w:rPr>
          <w:rFonts w:ascii="Comic Sans MS" w:hAnsi="Comic Sans MS"/>
          <w:sz w:val="28"/>
          <w:szCs w:val="28"/>
        </w:rPr>
        <w:t xml:space="preserve">hidroxicloroquina, el lopinavir y la azitromicina en estos pacientes con capaces de inducir arritmias ventriculares malignas incluyendo el torsades de pointes. </w:t>
      </w:r>
    </w:p>
    <w:p w:rsidR="00B1574F" w:rsidRPr="005A57A2" w:rsidRDefault="00B1574F" w:rsidP="00B1574F">
      <w:pPr>
        <w:rPr>
          <w:rFonts w:ascii="Comic Sans MS" w:hAnsi="Comic Sans MS"/>
          <w:sz w:val="28"/>
          <w:szCs w:val="28"/>
        </w:rPr>
      </w:pPr>
      <w:r>
        <w:rPr>
          <w:rFonts w:ascii="Comic Sans MS" w:hAnsi="Comic Sans MS"/>
          <w:sz w:val="28"/>
          <w:szCs w:val="28"/>
        </w:rPr>
        <w:t>Recientemente un estudio observacional en Brasil fue interrumpido por la aparición de arritmias malignas. A pesar de eso el ACC/AHA emitió un dictamen en el cual planteaba como línea el mantenimiento de la medicación con observación cuidadosa del QT</w:t>
      </w:r>
    </w:p>
    <w:p w:rsidR="00B1574F" w:rsidRPr="00434C43" w:rsidRDefault="00B1574F" w:rsidP="00B1574F">
      <w:pPr>
        <w:rPr>
          <w:rFonts w:ascii="Comic Sans MS" w:eastAsiaTheme="majorEastAsia" w:hAnsi="Comic Sans MS"/>
          <w:sz w:val="28"/>
          <w:szCs w:val="28"/>
          <w:lang w:val="es-ES"/>
        </w:rPr>
      </w:pPr>
      <w:r w:rsidRPr="005A57A2">
        <w:rPr>
          <w:rStyle w:val="tlid-translation"/>
          <w:rFonts w:ascii="Comic Sans MS" w:eastAsiaTheme="majorEastAsia" w:hAnsi="Comic Sans MS"/>
          <w:sz w:val="28"/>
          <w:szCs w:val="28"/>
          <w:lang w:val="es-ES"/>
        </w:rPr>
        <w:t xml:space="preserve">Es probable que los pacientes ingresados </w:t>
      </w:r>
      <w:r w:rsidRPr="005A57A2">
        <w:rPr>
          <w:rStyle w:val="tlid-translation"/>
          <w:rFonts w:eastAsiaTheme="majorEastAsia"/>
          <w:sz w:val="28"/>
          <w:szCs w:val="28"/>
          <w:lang w:val="es-ES"/>
        </w:rPr>
        <w:t>​​</w:t>
      </w:r>
      <w:r w:rsidRPr="005A57A2">
        <w:rPr>
          <w:rStyle w:val="tlid-translation"/>
          <w:rFonts w:ascii="Comic Sans MS" w:eastAsiaTheme="majorEastAsia" w:hAnsi="Comic Sans MS"/>
          <w:sz w:val="28"/>
          <w:szCs w:val="28"/>
          <w:lang w:val="es-ES"/>
        </w:rPr>
        <w:t>con COVID-19 tengan un QTc basal m</w:t>
      </w:r>
      <w:r w:rsidRPr="005A57A2">
        <w:rPr>
          <w:rStyle w:val="tlid-translation"/>
          <w:rFonts w:ascii="Comic Sans MS" w:eastAsiaTheme="majorEastAsia" w:hAnsi="Comic Sans MS" w:cs="Comic Sans MS"/>
          <w:sz w:val="28"/>
          <w:szCs w:val="28"/>
          <w:lang w:val="es-ES"/>
        </w:rPr>
        <w:t>á</w:t>
      </w:r>
      <w:r w:rsidRPr="005A57A2">
        <w:rPr>
          <w:rStyle w:val="tlid-translation"/>
          <w:rFonts w:ascii="Comic Sans MS" w:eastAsiaTheme="majorEastAsia" w:hAnsi="Comic Sans MS"/>
          <w:sz w:val="28"/>
          <w:szCs w:val="28"/>
          <w:lang w:val="es-ES"/>
        </w:rPr>
        <w:t>s largo y tengan riesgos arr</w:t>
      </w:r>
      <w:r w:rsidRPr="005A57A2">
        <w:rPr>
          <w:rStyle w:val="tlid-translation"/>
          <w:rFonts w:ascii="Comic Sans MS" w:eastAsiaTheme="majorEastAsia" w:hAnsi="Comic Sans MS" w:cs="Comic Sans MS"/>
          <w:sz w:val="28"/>
          <w:szCs w:val="28"/>
          <w:lang w:val="es-ES"/>
        </w:rPr>
        <w:t>í</w:t>
      </w:r>
      <w:r w:rsidRPr="005A57A2">
        <w:rPr>
          <w:rStyle w:val="tlid-translation"/>
          <w:rFonts w:ascii="Comic Sans MS" w:eastAsiaTheme="majorEastAsia" w:hAnsi="Comic Sans MS"/>
          <w:sz w:val="28"/>
          <w:szCs w:val="28"/>
          <w:lang w:val="es-ES"/>
        </w:rPr>
        <w:t>tmicos potenciales m</w:t>
      </w:r>
      <w:r w:rsidRPr="005A57A2">
        <w:rPr>
          <w:rStyle w:val="tlid-translation"/>
          <w:rFonts w:ascii="Comic Sans MS" w:eastAsiaTheme="majorEastAsia" w:hAnsi="Comic Sans MS" w:cs="Comic Sans MS"/>
          <w:sz w:val="28"/>
          <w:szCs w:val="28"/>
          <w:lang w:val="es-ES"/>
        </w:rPr>
        <w:t>á</w:t>
      </w:r>
      <w:r w:rsidRPr="005A57A2">
        <w:rPr>
          <w:rStyle w:val="tlid-translation"/>
          <w:rFonts w:ascii="Comic Sans MS" w:eastAsiaTheme="majorEastAsia" w:hAnsi="Comic Sans MS"/>
          <w:sz w:val="28"/>
          <w:szCs w:val="28"/>
          <w:lang w:val="es-ES"/>
        </w:rPr>
        <w:t>s altos como resultado de las secuelas metabólicas y fisiológicas de su enfermedad, y una carga típicamente mayor de enfermedad comórbida.</w:t>
      </w:r>
      <w:r w:rsidRPr="005A57A2">
        <w:rPr>
          <w:rFonts w:ascii="Comic Sans MS" w:hAnsi="Comic Sans MS"/>
          <w:sz w:val="28"/>
          <w:szCs w:val="28"/>
          <w:lang w:val="es-ES"/>
        </w:rPr>
        <w:br/>
      </w:r>
      <w:r w:rsidRPr="005A57A2">
        <w:rPr>
          <w:rStyle w:val="tlid-translation"/>
          <w:rFonts w:ascii="Comic Sans MS" w:eastAsiaTheme="majorEastAsia" w:hAnsi="Comic Sans MS"/>
          <w:sz w:val="28"/>
          <w:szCs w:val="28"/>
          <w:lang w:val="es-ES"/>
        </w:rPr>
        <w:t>Sin embargo, dada la gravedad de la enfermedad, los pacientes hospitalizados y en estado crítico también pueden obtener el mayor beneficio de las terapias potencialmente efectivas.</w:t>
      </w:r>
      <w:r>
        <w:rPr>
          <w:rStyle w:val="tlid-translation"/>
          <w:rFonts w:ascii="Comic Sans MS" w:eastAsiaTheme="majorEastAsia" w:hAnsi="Comic Sans MS"/>
          <w:sz w:val="28"/>
          <w:szCs w:val="28"/>
          <w:lang w:val="es-ES"/>
        </w:rPr>
        <w:t xml:space="preserve"> Hemos propuesto incluir en el protocolo nacional </w:t>
      </w:r>
      <w:r>
        <w:rPr>
          <w:rFonts w:ascii="Comic Sans MS" w:hAnsi="Comic Sans MS"/>
          <w:sz w:val="28"/>
          <w:szCs w:val="28"/>
          <w:lang w:val="es-ES"/>
        </w:rPr>
        <w:t>p</w:t>
      </w:r>
      <w:r w:rsidRPr="005A57A2">
        <w:rPr>
          <w:rFonts w:ascii="Comic Sans MS" w:hAnsi="Comic Sans MS"/>
          <w:sz w:val="28"/>
          <w:szCs w:val="28"/>
          <w:lang w:val="es-ES"/>
        </w:rPr>
        <w:t>ara minimizar el riesgo, los enfoques descritos en la declaración incluyen: 1) monitorización del intervalo electrocardiográfico / QT, con orientación para la retirada del fármaco; 2) corrección de hipocalemia&gt; 4 mEq / L e hipomagnesemia&gt; 2 mg / dL; y 3) evitar otras drogas que prolongan el QTc cuando sea factible.</w:t>
      </w:r>
    </w:p>
    <w:p w:rsidR="00B1574F" w:rsidRPr="005A57A2" w:rsidRDefault="00B1574F" w:rsidP="00B1574F">
      <w:pPr>
        <w:rPr>
          <w:rFonts w:ascii="Comic Sans MS" w:hAnsi="Comic Sans MS"/>
          <w:sz w:val="28"/>
          <w:szCs w:val="28"/>
          <w:lang w:val="es-ES"/>
        </w:rPr>
      </w:pPr>
      <w:r>
        <w:rPr>
          <w:rFonts w:ascii="Comic Sans MS" w:hAnsi="Comic Sans MS"/>
          <w:sz w:val="28"/>
          <w:szCs w:val="28"/>
          <w:lang w:val="es-ES"/>
        </w:rPr>
        <w:t>Medir</w:t>
      </w:r>
      <w:r w:rsidRPr="005A57A2">
        <w:rPr>
          <w:rFonts w:ascii="Comic Sans MS" w:hAnsi="Comic Sans MS"/>
          <w:sz w:val="28"/>
          <w:szCs w:val="28"/>
          <w:lang w:val="es-ES"/>
        </w:rPr>
        <w:t xml:space="preserve"> el QT de 3 a 5 horas después de la primera dosis de hidroxicloroquina y luego cada 12 horas durante los primeros 3 días. Después de 3 días, controle por telemetría para buscar arritmias ventriculares, pero las mediciones de QT se pueden detener.</w:t>
      </w:r>
      <w:r w:rsidRPr="005A57A2">
        <w:rPr>
          <w:rFonts w:ascii="Comic Sans MS" w:hAnsi="Comic Sans MS"/>
          <w:sz w:val="28"/>
          <w:szCs w:val="28"/>
          <w:lang w:val="es-ES"/>
        </w:rPr>
        <w:br/>
        <w:t>Si el QTc tiene un valor absoluto superior a 500 milisegundos (&gt; 550 ms en QRS ancho), valorar con el cardiólogo</w:t>
      </w:r>
      <w:r>
        <w:rPr>
          <w:rFonts w:ascii="Comic Sans MS" w:hAnsi="Comic Sans MS"/>
          <w:sz w:val="28"/>
          <w:szCs w:val="28"/>
          <w:lang w:val="es-ES"/>
        </w:rPr>
        <w:t xml:space="preserve"> con vistas a una posible suspensión sobretodo si hay arritmias ventriculares frecuentes,</w:t>
      </w:r>
      <w:r w:rsidRPr="005A57A2">
        <w:rPr>
          <w:rFonts w:ascii="Comic Sans MS" w:hAnsi="Comic Sans MS"/>
          <w:sz w:val="28"/>
          <w:szCs w:val="28"/>
          <w:lang w:val="es-ES"/>
        </w:rPr>
        <w:t xml:space="preserve"> episodios de taquicardia ventricular no sostenida, especialmente taquicardia ventric</w:t>
      </w:r>
      <w:r>
        <w:rPr>
          <w:rFonts w:ascii="Comic Sans MS" w:hAnsi="Comic Sans MS"/>
          <w:sz w:val="28"/>
          <w:szCs w:val="28"/>
          <w:lang w:val="es-ES"/>
        </w:rPr>
        <w:t>ular polimórfica.</w:t>
      </w:r>
    </w:p>
    <w:p w:rsidR="00B1574F" w:rsidRDefault="00B1574F" w:rsidP="00B1574F">
      <w:pPr>
        <w:rPr>
          <w:rFonts w:ascii="Comic Sans MS" w:hAnsi="Comic Sans MS"/>
          <w:sz w:val="28"/>
          <w:szCs w:val="28"/>
          <w:lang w:val="es-ES"/>
        </w:rPr>
      </w:pPr>
      <w:r w:rsidRPr="005A57A2">
        <w:rPr>
          <w:rFonts w:ascii="Comic Sans MS" w:hAnsi="Comic Sans MS"/>
          <w:sz w:val="28"/>
          <w:szCs w:val="28"/>
          <w:lang w:val="es-ES"/>
        </w:rPr>
        <w:t>La medición del QTc se puede hacer por el método de Framingham por la formula QTc=QT + 0.154(1-RR)</w:t>
      </w:r>
    </w:p>
    <w:p w:rsidR="00B1574F" w:rsidRPr="005A57A2" w:rsidRDefault="00B1574F" w:rsidP="00B1574F">
      <w:pPr>
        <w:rPr>
          <w:rFonts w:ascii="Comic Sans MS" w:hAnsi="Comic Sans MS"/>
          <w:sz w:val="28"/>
          <w:szCs w:val="28"/>
          <w:lang w:val="es-ES"/>
        </w:rPr>
      </w:pPr>
      <w:r>
        <w:rPr>
          <w:rFonts w:ascii="Comic Sans MS" w:hAnsi="Comic Sans MS"/>
          <w:sz w:val="28"/>
          <w:szCs w:val="28"/>
          <w:lang w:val="es-ES"/>
        </w:rPr>
        <w:t>La aplicación de un Score utiliza información clínica objetiva y minimiza la necesidad del juicio clínico y el riesgo de introducir inconsistencias.</w:t>
      </w:r>
    </w:p>
    <w:p w:rsidR="00B1574F" w:rsidRPr="00434C43" w:rsidRDefault="00B1574F" w:rsidP="00B1574F">
      <w:pPr>
        <w:rPr>
          <w:rStyle w:val="tlid-translation"/>
          <w:rFonts w:ascii="Comic Sans MS" w:eastAsiaTheme="majorEastAsia" w:hAnsi="Comic Sans MS"/>
          <w:sz w:val="28"/>
          <w:szCs w:val="28"/>
          <w:lang w:val="es-ES"/>
        </w:rPr>
      </w:pPr>
      <w:r>
        <w:rPr>
          <w:rFonts w:ascii="Comic Sans MS" w:hAnsi="Comic Sans MS"/>
          <w:sz w:val="28"/>
          <w:szCs w:val="28"/>
          <w:lang w:val="es-ES"/>
        </w:rPr>
        <w:t>La mayor seguridad</w:t>
      </w:r>
      <w:r w:rsidRPr="005A57A2">
        <w:rPr>
          <w:rFonts w:ascii="Comic Sans MS" w:hAnsi="Comic Sans MS"/>
          <w:sz w:val="28"/>
          <w:szCs w:val="28"/>
          <w:lang w:val="es-ES"/>
        </w:rPr>
        <w:t xml:space="preserve"> es la aplicación del </w:t>
      </w:r>
      <w:r w:rsidRPr="005A57A2">
        <w:rPr>
          <w:rStyle w:val="tlid-translation"/>
          <w:rFonts w:ascii="Comic Sans MS" w:eastAsiaTheme="majorEastAsia" w:hAnsi="Comic Sans MS"/>
          <w:sz w:val="28"/>
          <w:szCs w:val="28"/>
          <w:lang w:val="es-ES"/>
        </w:rPr>
        <w:t>Puntaje de riesgo para la prolongación de QTc asociada a fármacos Score de Tisdale</w:t>
      </w:r>
      <w:r w:rsidRPr="005A57A2">
        <w:rPr>
          <w:rFonts w:ascii="Comic Sans MS" w:hAnsi="Comic Sans MS"/>
          <w:sz w:val="28"/>
          <w:szCs w:val="28"/>
          <w:lang w:val="es-ES"/>
        </w:rPr>
        <w:br/>
      </w:r>
      <w:r w:rsidRPr="005A57A2">
        <w:rPr>
          <w:rStyle w:val="tlid-translation"/>
          <w:rFonts w:ascii="Comic Sans MS" w:eastAsiaTheme="majorEastAsia" w:hAnsi="Comic Sans MS"/>
          <w:sz w:val="28"/>
          <w:szCs w:val="28"/>
          <w:lang w:val="es-ES"/>
        </w:rPr>
        <w:t>Puntos de factores de riesgo</w:t>
      </w:r>
      <w:r w:rsidRPr="005A57A2">
        <w:rPr>
          <w:rFonts w:ascii="Comic Sans MS" w:hAnsi="Comic Sans MS"/>
          <w:sz w:val="28"/>
          <w:szCs w:val="28"/>
          <w:lang w:val="es-ES"/>
        </w:rPr>
        <w:br/>
      </w:r>
      <w:r w:rsidRPr="005A57A2">
        <w:rPr>
          <w:rStyle w:val="tlid-translation"/>
          <w:rFonts w:ascii="Comic Sans MS" w:eastAsiaTheme="majorEastAsia" w:hAnsi="Comic Sans MS"/>
          <w:sz w:val="28"/>
          <w:szCs w:val="28"/>
          <w:lang w:val="es-ES"/>
        </w:rPr>
        <w:t>Edad ≥68 ---------- 1</w:t>
      </w:r>
      <w:r w:rsidRPr="005A57A2">
        <w:rPr>
          <w:rFonts w:ascii="Comic Sans MS" w:hAnsi="Comic Sans MS"/>
          <w:sz w:val="28"/>
          <w:szCs w:val="28"/>
          <w:lang w:val="es-ES"/>
        </w:rPr>
        <w:br/>
      </w:r>
      <w:r w:rsidRPr="005A57A2">
        <w:rPr>
          <w:rStyle w:val="tlid-translation"/>
          <w:rFonts w:ascii="Comic Sans MS" w:eastAsiaTheme="majorEastAsia" w:hAnsi="Comic Sans MS"/>
          <w:sz w:val="28"/>
          <w:szCs w:val="28"/>
          <w:lang w:val="es-ES"/>
        </w:rPr>
        <w:t>Sexo femenino---------- 1</w:t>
      </w:r>
      <w:r w:rsidRPr="005A57A2">
        <w:rPr>
          <w:rFonts w:ascii="Comic Sans MS" w:hAnsi="Comic Sans MS"/>
          <w:sz w:val="28"/>
          <w:szCs w:val="28"/>
          <w:lang w:val="es-ES"/>
        </w:rPr>
        <w:br/>
      </w:r>
      <w:r w:rsidRPr="005A57A2">
        <w:rPr>
          <w:rStyle w:val="tlid-translation"/>
          <w:rFonts w:ascii="Comic Sans MS" w:eastAsiaTheme="majorEastAsia" w:hAnsi="Comic Sans MS"/>
          <w:sz w:val="28"/>
          <w:szCs w:val="28"/>
          <w:lang w:val="es-ES"/>
        </w:rPr>
        <w:t>Diurético de asa-------- 1</w:t>
      </w:r>
      <w:r w:rsidRPr="005A57A2">
        <w:rPr>
          <w:rFonts w:ascii="Comic Sans MS" w:hAnsi="Comic Sans MS"/>
          <w:sz w:val="28"/>
          <w:szCs w:val="28"/>
          <w:lang w:val="es-ES"/>
        </w:rPr>
        <w:br/>
      </w:r>
      <w:r w:rsidRPr="005A57A2">
        <w:rPr>
          <w:rStyle w:val="tlid-translation"/>
          <w:rFonts w:ascii="Comic Sans MS" w:eastAsiaTheme="majorEastAsia" w:hAnsi="Comic Sans MS"/>
          <w:sz w:val="28"/>
          <w:szCs w:val="28"/>
          <w:lang w:val="es-ES"/>
        </w:rPr>
        <w:t>Suero K + ≤3.5 mEq / L------- 2</w:t>
      </w:r>
      <w:r w:rsidRPr="005A57A2">
        <w:rPr>
          <w:rFonts w:ascii="Comic Sans MS" w:hAnsi="Comic Sans MS"/>
          <w:sz w:val="28"/>
          <w:szCs w:val="28"/>
          <w:lang w:val="es-ES"/>
        </w:rPr>
        <w:br/>
      </w:r>
      <w:r w:rsidRPr="005A57A2">
        <w:rPr>
          <w:rStyle w:val="tlid-translation"/>
          <w:rFonts w:ascii="Comic Sans MS" w:eastAsiaTheme="majorEastAsia" w:hAnsi="Comic Sans MS"/>
          <w:sz w:val="28"/>
          <w:szCs w:val="28"/>
          <w:lang w:val="es-ES"/>
        </w:rPr>
        <w:t>Admisión QTc ≥---450 ms -------2</w:t>
      </w:r>
      <w:r w:rsidRPr="005A57A2">
        <w:rPr>
          <w:rFonts w:ascii="Comic Sans MS" w:hAnsi="Comic Sans MS"/>
          <w:sz w:val="28"/>
          <w:szCs w:val="28"/>
          <w:lang w:val="es-ES"/>
        </w:rPr>
        <w:br/>
      </w:r>
      <w:r w:rsidRPr="005A57A2">
        <w:rPr>
          <w:rStyle w:val="tlid-translation"/>
          <w:rFonts w:ascii="Comic Sans MS" w:eastAsiaTheme="majorEastAsia" w:hAnsi="Comic Sans MS"/>
          <w:sz w:val="28"/>
          <w:szCs w:val="28"/>
          <w:lang w:val="es-ES"/>
        </w:rPr>
        <w:t>MI agudo--------2</w:t>
      </w:r>
      <w:r w:rsidRPr="005A57A2">
        <w:rPr>
          <w:rFonts w:ascii="Comic Sans MS" w:hAnsi="Comic Sans MS"/>
          <w:sz w:val="28"/>
          <w:szCs w:val="28"/>
          <w:lang w:val="es-ES"/>
        </w:rPr>
        <w:br/>
      </w:r>
      <w:r w:rsidRPr="005A57A2">
        <w:rPr>
          <w:rStyle w:val="tlid-translation"/>
          <w:rFonts w:ascii="Comic Sans MS" w:eastAsiaTheme="majorEastAsia" w:hAnsi="Comic Sans MS"/>
          <w:sz w:val="28"/>
          <w:szCs w:val="28"/>
          <w:lang w:val="es-ES"/>
        </w:rPr>
        <w:t>≥2 fármacos que prolongan el QTc -----------3</w:t>
      </w:r>
      <w:r w:rsidRPr="005A57A2">
        <w:rPr>
          <w:rFonts w:ascii="Comic Sans MS" w:hAnsi="Comic Sans MS"/>
          <w:sz w:val="28"/>
          <w:szCs w:val="28"/>
          <w:lang w:val="es-ES"/>
        </w:rPr>
        <w:br/>
      </w:r>
      <w:r w:rsidRPr="005A57A2">
        <w:rPr>
          <w:rStyle w:val="tlid-translation"/>
          <w:rFonts w:ascii="Comic Sans MS" w:eastAsiaTheme="majorEastAsia" w:hAnsi="Comic Sans MS"/>
          <w:sz w:val="28"/>
          <w:szCs w:val="28"/>
          <w:lang w:val="es-ES"/>
        </w:rPr>
        <w:t>sepsis ------------3</w:t>
      </w:r>
      <w:r w:rsidRPr="005A57A2">
        <w:rPr>
          <w:rFonts w:ascii="Comic Sans MS" w:hAnsi="Comic Sans MS"/>
          <w:sz w:val="28"/>
          <w:szCs w:val="28"/>
          <w:lang w:val="es-ES"/>
        </w:rPr>
        <w:br/>
      </w:r>
      <w:r w:rsidRPr="005A57A2">
        <w:rPr>
          <w:rStyle w:val="tlid-translation"/>
          <w:rFonts w:ascii="Comic Sans MS" w:eastAsiaTheme="majorEastAsia" w:hAnsi="Comic Sans MS"/>
          <w:sz w:val="28"/>
          <w:szCs w:val="28"/>
          <w:lang w:val="es-ES"/>
        </w:rPr>
        <w:t>Insuficiencia cardíaca--------- 3</w:t>
      </w:r>
      <w:r w:rsidRPr="005A57A2">
        <w:rPr>
          <w:rFonts w:ascii="Comic Sans MS" w:hAnsi="Comic Sans MS"/>
          <w:sz w:val="28"/>
          <w:szCs w:val="28"/>
          <w:lang w:val="es-ES"/>
        </w:rPr>
        <w:br/>
      </w:r>
      <w:r w:rsidRPr="005A57A2">
        <w:rPr>
          <w:rStyle w:val="tlid-translation"/>
          <w:rFonts w:ascii="Comic Sans MS" w:eastAsiaTheme="majorEastAsia" w:hAnsi="Comic Sans MS"/>
          <w:sz w:val="28"/>
          <w:szCs w:val="28"/>
          <w:lang w:val="es-ES"/>
        </w:rPr>
        <w:t>Un fármaco que prolonga el QTc---------- 3</w:t>
      </w:r>
      <w:r w:rsidRPr="005A57A2">
        <w:rPr>
          <w:rFonts w:ascii="Comic Sans MS" w:hAnsi="Comic Sans MS"/>
          <w:sz w:val="28"/>
          <w:szCs w:val="28"/>
          <w:lang w:val="es-ES"/>
        </w:rPr>
        <w:br/>
      </w:r>
      <w:r w:rsidRPr="005A57A2">
        <w:rPr>
          <w:rStyle w:val="tlid-translation"/>
          <w:rFonts w:ascii="Comic Sans MS" w:eastAsiaTheme="majorEastAsia" w:hAnsi="Comic Sans MS"/>
          <w:sz w:val="28"/>
          <w:szCs w:val="28"/>
          <w:lang w:val="es-ES"/>
        </w:rPr>
        <w:t>Puntuación máxima de riesgo 21</w:t>
      </w:r>
      <w:r w:rsidRPr="005A57A2">
        <w:rPr>
          <w:rFonts w:ascii="Comic Sans MS" w:hAnsi="Comic Sans MS"/>
          <w:sz w:val="28"/>
          <w:szCs w:val="28"/>
          <w:lang w:val="es-ES"/>
        </w:rPr>
        <w:br/>
      </w:r>
      <w:r w:rsidRPr="005A57A2">
        <w:rPr>
          <w:rStyle w:val="tlid-translation"/>
          <w:rFonts w:ascii="Comic Sans MS" w:eastAsiaTheme="majorEastAsia" w:hAnsi="Comic Sans MS"/>
          <w:sz w:val="28"/>
          <w:szCs w:val="28"/>
          <w:lang w:val="es-ES"/>
        </w:rPr>
        <w:t>K + indica potasio; y MI, infarto de miocardio.</w:t>
      </w:r>
      <w:r w:rsidRPr="005A57A2">
        <w:rPr>
          <w:rFonts w:ascii="Comic Sans MS" w:hAnsi="Comic Sans MS"/>
          <w:sz w:val="28"/>
          <w:szCs w:val="28"/>
          <w:lang w:val="es-ES"/>
        </w:rPr>
        <w:br/>
      </w:r>
      <w:r w:rsidRPr="005A57A2">
        <w:rPr>
          <w:rStyle w:val="tlid-translation"/>
          <w:rFonts w:ascii="Comic Sans MS" w:eastAsiaTheme="majorEastAsia" w:hAnsi="Comic Sans MS"/>
          <w:sz w:val="28"/>
          <w:szCs w:val="28"/>
          <w:lang w:val="es-ES"/>
        </w:rPr>
        <w:t xml:space="preserve">Una puntuación de Tisdale de ≤ 6 predice un riesgo bajo, un riesgo medio de 7-10 y un riesgo ≥ 11 alto de prolongación del intervalo QT asociado al fármaco </w:t>
      </w:r>
      <w:r w:rsidRPr="005A57A2">
        <w:rPr>
          <w:rFonts w:ascii="Comic Sans MS" w:hAnsi="Comic Sans MS"/>
          <w:sz w:val="28"/>
          <w:szCs w:val="28"/>
          <w:lang w:val="es-ES"/>
        </w:rPr>
        <w:br/>
      </w:r>
      <w:r w:rsidRPr="005A57A2">
        <w:rPr>
          <w:rStyle w:val="tlid-translation"/>
          <w:rFonts w:ascii="Comic Sans MS" w:eastAsiaTheme="majorEastAsia" w:hAnsi="Comic Sans MS"/>
          <w:sz w:val="28"/>
          <w:szCs w:val="28"/>
          <w:lang w:val="es-ES"/>
        </w:rPr>
        <w:t xml:space="preserve">Es probable que los pacientes ingresados </w:t>
      </w:r>
      <w:r w:rsidRPr="005A57A2">
        <w:rPr>
          <w:rStyle w:val="tlid-translation"/>
          <w:rFonts w:eastAsiaTheme="majorEastAsia"/>
          <w:sz w:val="28"/>
          <w:szCs w:val="28"/>
          <w:lang w:val="es-ES"/>
        </w:rPr>
        <w:t>​​</w:t>
      </w:r>
      <w:r w:rsidRPr="005A57A2">
        <w:rPr>
          <w:rStyle w:val="tlid-translation"/>
          <w:rFonts w:ascii="Comic Sans MS" w:eastAsiaTheme="majorEastAsia" w:hAnsi="Comic Sans MS"/>
          <w:sz w:val="28"/>
          <w:szCs w:val="28"/>
          <w:lang w:val="es-ES"/>
        </w:rPr>
        <w:t>con COVID-19 tengan un QTc basal m</w:t>
      </w:r>
      <w:r w:rsidRPr="005A57A2">
        <w:rPr>
          <w:rStyle w:val="tlid-translation"/>
          <w:rFonts w:ascii="Comic Sans MS" w:eastAsiaTheme="majorEastAsia" w:hAnsi="Comic Sans MS" w:cs="Comic Sans MS"/>
          <w:sz w:val="28"/>
          <w:szCs w:val="28"/>
          <w:lang w:val="es-ES"/>
        </w:rPr>
        <w:t>á</w:t>
      </w:r>
      <w:r w:rsidRPr="005A57A2">
        <w:rPr>
          <w:rStyle w:val="tlid-translation"/>
          <w:rFonts w:ascii="Comic Sans MS" w:eastAsiaTheme="majorEastAsia" w:hAnsi="Comic Sans MS"/>
          <w:sz w:val="28"/>
          <w:szCs w:val="28"/>
          <w:lang w:val="es-ES"/>
        </w:rPr>
        <w:t>s largo y tengan riesgos arr</w:t>
      </w:r>
      <w:r w:rsidRPr="005A57A2">
        <w:rPr>
          <w:rStyle w:val="tlid-translation"/>
          <w:rFonts w:ascii="Comic Sans MS" w:eastAsiaTheme="majorEastAsia" w:hAnsi="Comic Sans MS" w:cs="Comic Sans MS"/>
          <w:sz w:val="28"/>
          <w:szCs w:val="28"/>
          <w:lang w:val="es-ES"/>
        </w:rPr>
        <w:t>í</w:t>
      </w:r>
      <w:r w:rsidRPr="005A57A2">
        <w:rPr>
          <w:rStyle w:val="tlid-translation"/>
          <w:rFonts w:ascii="Comic Sans MS" w:eastAsiaTheme="majorEastAsia" w:hAnsi="Comic Sans MS"/>
          <w:sz w:val="28"/>
          <w:szCs w:val="28"/>
          <w:lang w:val="es-ES"/>
        </w:rPr>
        <w:t>tmicos potenciales m</w:t>
      </w:r>
      <w:r w:rsidRPr="005A57A2">
        <w:rPr>
          <w:rStyle w:val="tlid-translation"/>
          <w:rFonts w:ascii="Comic Sans MS" w:eastAsiaTheme="majorEastAsia" w:hAnsi="Comic Sans MS" w:cs="Comic Sans MS"/>
          <w:sz w:val="28"/>
          <w:szCs w:val="28"/>
          <w:lang w:val="es-ES"/>
        </w:rPr>
        <w:t>á</w:t>
      </w:r>
      <w:r w:rsidRPr="005A57A2">
        <w:rPr>
          <w:rStyle w:val="tlid-translation"/>
          <w:rFonts w:ascii="Comic Sans MS" w:eastAsiaTheme="majorEastAsia" w:hAnsi="Comic Sans MS"/>
          <w:sz w:val="28"/>
          <w:szCs w:val="28"/>
          <w:lang w:val="es-ES"/>
        </w:rPr>
        <w:t>s altos como resultado de las secuelas metabólicas y fisiológicas de su enfermedad, y una carga típicamente mayor de enfermedad comórbida</w:t>
      </w:r>
      <w:r w:rsidRPr="005A57A2">
        <w:rPr>
          <w:rStyle w:val="tlid-translation"/>
          <w:rFonts w:eastAsiaTheme="majorEastAsia"/>
          <w:sz w:val="28"/>
          <w:szCs w:val="28"/>
          <w:lang w:val="es-ES"/>
        </w:rPr>
        <w:t>.</w:t>
      </w:r>
    </w:p>
    <w:p w:rsidR="00B1574F" w:rsidRDefault="00B1574F" w:rsidP="00314E12">
      <w:pPr>
        <w:rPr>
          <w:rFonts w:ascii="Comic Sans MS" w:hAnsi="Comic Sans MS"/>
          <w:sz w:val="28"/>
          <w:szCs w:val="28"/>
        </w:rPr>
      </w:pPr>
    </w:p>
    <w:p w:rsidR="006D540C" w:rsidRPr="00314E12" w:rsidRDefault="006D540C" w:rsidP="00314E12">
      <w:pPr>
        <w:rPr>
          <w:rFonts w:ascii="Comic Sans MS" w:hAnsi="Comic Sans MS"/>
          <w:sz w:val="28"/>
          <w:szCs w:val="28"/>
        </w:rPr>
      </w:pPr>
      <w:r w:rsidRPr="00314E12">
        <w:rPr>
          <w:rFonts w:ascii="Comic Sans MS" w:hAnsi="Comic Sans MS"/>
          <w:sz w:val="28"/>
          <w:szCs w:val="28"/>
        </w:rPr>
        <w:t>Otro elemento importante que los cardiólogos debemos dominar es el papel que juegan los I-ECA y ARA-II con respecto al COVID-19.</w:t>
      </w:r>
    </w:p>
    <w:p w:rsidR="00882635" w:rsidRDefault="006D540C">
      <w:pPr>
        <w:rPr>
          <w:rFonts w:ascii="Comic Sans MS" w:hAnsi="Comic Sans MS"/>
          <w:sz w:val="28"/>
          <w:szCs w:val="28"/>
        </w:rPr>
      </w:pPr>
      <w:r>
        <w:rPr>
          <w:rFonts w:ascii="Comic Sans MS" w:hAnsi="Comic Sans MS"/>
          <w:sz w:val="28"/>
          <w:szCs w:val="28"/>
        </w:rPr>
        <w:t>Al reconocerse el papel principal</w:t>
      </w:r>
      <w:r w:rsidR="00B875CA">
        <w:rPr>
          <w:rFonts w:ascii="Comic Sans MS" w:hAnsi="Comic Sans MS"/>
          <w:sz w:val="28"/>
          <w:szCs w:val="28"/>
        </w:rPr>
        <w:t xml:space="preserve"> del ACE2 en la entrada a la </w:t>
      </w:r>
      <w:r w:rsidR="00E50203">
        <w:rPr>
          <w:rFonts w:ascii="Comic Sans MS" w:hAnsi="Comic Sans MS"/>
          <w:sz w:val="28"/>
          <w:szCs w:val="28"/>
        </w:rPr>
        <w:t>célula</w:t>
      </w:r>
      <w:r w:rsidR="00B875CA">
        <w:rPr>
          <w:rFonts w:ascii="Comic Sans MS" w:hAnsi="Comic Sans MS"/>
          <w:sz w:val="28"/>
          <w:szCs w:val="28"/>
        </w:rPr>
        <w:t xml:space="preserve"> del SARS-CoV-2 ha motivado preocupación </w:t>
      </w:r>
      <w:r w:rsidR="00882635">
        <w:rPr>
          <w:rFonts w:ascii="Comic Sans MS" w:hAnsi="Comic Sans MS"/>
          <w:sz w:val="28"/>
          <w:szCs w:val="28"/>
        </w:rPr>
        <w:t>sobre los posibles riesgos asociados con la administración de I-ECA o ARA-II sugiriéndose un cambio en la terapéutica antihipertensiva dada su capacidad de incrementar ACE2 en algunos tejidos como el miocardio con la hipotética mayor susceptibilidad al COVID-19.</w:t>
      </w:r>
    </w:p>
    <w:p w:rsidR="0086755F" w:rsidRDefault="00882635">
      <w:pPr>
        <w:rPr>
          <w:rFonts w:ascii="Comic Sans MS" w:hAnsi="Comic Sans MS"/>
          <w:sz w:val="28"/>
          <w:szCs w:val="28"/>
        </w:rPr>
      </w:pPr>
      <w:r w:rsidRPr="00882635">
        <w:rPr>
          <w:rFonts w:ascii="Comic Sans MS" w:hAnsi="Comic Sans MS"/>
          <w:sz w:val="28"/>
          <w:szCs w:val="28"/>
        </w:rPr>
        <w:t>Los inhibidores de la ECA (enzima convertidora de</w:t>
      </w:r>
      <w:r>
        <w:rPr>
          <w:rFonts w:ascii="Comic Sans MS" w:hAnsi="Comic Sans MS"/>
          <w:sz w:val="28"/>
          <w:szCs w:val="28"/>
        </w:rPr>
        <w:t xml:space="preserve"> angiotensina) no inhiben la ACE</w:t>
      </w:r>
      <w:r w:rsidR="0086755F">
        <w:rPr>
          <w:rFonts w:ascii="Comic Sans MS" w:hAnsi="Comic Sans MS"/>
          <w:sz w:val="28"/>
          <w:szCs w:val="28"/>
        </w:rPr>
        <w:t>2 porque la ECA y la ACE</w:t>
      </w:r>
      <w:r w:rsidRPr="00882635">
        <w:rPr>
          <w:rFonts w:ascii="Comic Sans MS" w:hAnsi="Comic Sans MS"/>
          <w:sz w:val="28"/>
          <w:szCs w:val="28"/>
        </w:rPr>
        <w:t xml:space="preserve">2 son enzimas diferentes. Aunque se ha demostrado que los bloqueadores de los receptores de angiotensina </w:t>
      </w:r>
      <w:r w:rsidR="001909D6">
        <w:rPr>
          <w:rFonts w:ascii="Comic Sans MS" w:hAnsi="Comic Sans MS"/>
          <w:sz w:val="28"/>
          <w:szCs w:val="28"/>
        </w:rPr>
        <w:t>II tipo 1 aumentan la expresión</w:t>
      </w:r>
      <w:r w:rsidRPr="00882635">
        <w:rPr>
          <w:rFonts w:ascii="Comic Sans MS" w:hAnsi="Comic Sans MS"/>
          <w:sz w:val="28"/>
          <w:szCs w:val="28"/>
        </w:rPr>
        <w:t xml:space="preserve"> de ACE2 en animales experimentales, la evidencia no siempre es consiste</w:t>
      </w:r>
      <w:r w:rsidR="0086755F">
        <w:rPr>
          <w:rFonts w:ascii="Comic Sans MS" w:hAnsi="Comic Sans MS"/>
          <w:sz w:val="28"/>
          <w:szCs w:val="28"/>
        </w:rPr>
        <w:t>nte y difiere entre diferentes</w:t>
      </w:r>
      <w:r w:rsidRPr="00882635">
        <w:rPr>
          <w:rFonts w:ascii="Comic Sans MS" w:hAnsi="Comic Sans MS"/>
          <w:sz w:val="28"/>
          <w:szCs w:val="28"/>
        </w:rPr>
        <w:t xml:space="preserve"> bloqueadores de receptores de angiote</w:t>
      </w:r>
      <w:r w:rsidR="0086755F">
        <w:rPr>
          <w:rFonts w:ascii="Comic Sans MS" w:hAnsi="Comic Sans MS"/>
          <w:sz w:val="28"/>
          <w:szCs w:val="28"/>
        </w:rPr>
        <w:t>nsina II tipo 1 y</w:t>
      </w:r>
      <w:r w:rsidRPr="00882635">
        <w:rPr>
          <w:rFonts w:ascii="Comic Sans MS" w:hAnsi="Comic Sans MS"/>
          <w:sz w:val="28"/>
          <w:szCs w:val="28"/>
        </w:rPr>
        <w:t xml:space="preserve"> órganos.</w:t>
      </w:r>
      <w:r w:rsidR="00F240C4" w:rsidRPr="00882635">
        <w:rPr>
          <w:rFonts w:ascii="Comic Sans MS" w:hAnsi="Comic Sans MS"/>
          <w:sz w:val="28"/>
          <w:szCs w:val="28"/>
        </w:rPr>
        <w:t xml:space="preserve"> </w:t>
      </w:r>
    </w:p>
    <w:p w:rsidR="00FA5AD8" w:rsidRDefault="0086755F">
      <w:pPr>
        <w:rPr>
          <w:rFonts w:ascii="Comic Sans MS" w:hAnsi="Comic Sans MS"/>
          <w:sz w:val="28"/>
          <w:szCs w:val="28"/>
        </w:rPr>
      </w:pPr>
      <w:r>
        <w:rPr>
          <w:rFonts w:ascii="Comic Sans MS" w:hAnsi="Comic Sans MS"/>
          <w:sz w:val="28"/>
          <w:szCs w:val="28"/>
        </w:rPr>
        <w:t xml:space="preserve"> </w:t>
      </w:r>
      <w:r w:rsidR="00B66BC0">
        <w:rPr>
          <w:rFonts w:ascii="Comic Sans MS" w:hAnsi="Comic Sans MS"/>
          <w:sz w:val="28"/>
          <w:szCs w:val="28"/>
        </w:rPr>
        <w:t>Hay un reporte chino que demuestra</w:t>
      </w:r>
      <w:r>
        <w:rPr>
          <w:rFonts w:ascii="Comic Sans MS" w:hAnsi="Comic Sans MS"/>
          <w:sz w:val="28"/>
          <w:szCs w:val="28"/>
        </w:rPr>
        <w:t xml:space="preserve"> un efecto beneficioso del Losartan en la evolución clínica y la respuesta inflamatoria en el COVID-19. Algunos experimentos en animales sugieren que los ARA-II limitan el daño pulmonar en el distress respiratorio.</w:t>
      </w:r>
      <w:r w:rsidRPr="0086755F">
        <w:t xml:space="preserve"> </w:t>
      </w:r>
      <w:r w:rsidRPr="0086755F">
        <w:rPr>
          <w:rFonts w:ascii="Comic Sans MS" w:hAnsi="Comic Sans MS"/>
          <w:sz w:val="28"/>
          <w:szCs w:val="28"/>
        </w:rPr>
        <w:t xml:space="preserve">Durante la lesión pulmonar aguda, la ACE2 alveolar parece estar regulada negativamente. Esto disminuiría el metabolismo de la angiotensina II, lo que daría como resultado mayores niveles locales de este péptido, lo que aumenta la permeabilidad alveolar y fomenta </w:t>
      </w:r>
      <w:r>
        <w:rPr>
          <w:rFonts w:ascii="Comic Sans MS" w:hAnsi="Comic Sans MS"/>
          <w:sz w:val="28"/>
          <w:szCs w:val="28"/>
        </w:rPr>
        <w:t>el daño pulmonar siendo un posible efecto positivo el empleo de los ARA-II.</w:t>
      </w:r>
    </w:p>
    <w:p w:rsidR="0086755F" w:rsidRDefault="0086755F">
      <w:pPr>
        <w:rPr>
          <w:rFonts w:ascii="Comic Sans MS" w:hAnsi="Comic Sans MS"/>
          <w:sz w:val="28"/>
          <w:szCs w:val="28"/>
        </w:rPr>
      </w:pPr>
      <w:r>
        <w:rPr>
          <w:rFonts w:ascii="Comic Sans MS" w:hAnsi="Comic Sans MS"/>
          <w:sz w:val="28"/>
          <w:szCs w:val="28"/>
        </w:rPr>
        <w:t xml:space="preserve"> </w:t>
      </w:r>
      <w:r>
        <w:rPr>
          <w:rFonts w:ascii="Comic Sans MS" w:hAnsi="Comic Sans MS"/>
          <w:noProof/>
          <w:sz w:val="28"/>
          <w:szCs w:val="28"/>
          <w:lang w:val="es-ES" w:eastAsia="es-ES"/>
        </w:rPr>
        <w:drawing>
          <wp:inline distT="0" distB="0" distL="0" distR="0">
            <wp:extent cx="5731510" cy="2272030"/>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covid hipertension.jpg"/>
                    <pic:cNvPicPr/>
                  </pic:nvPicPr>
                  <pic:blipFill>
                    <a:blip r:embed="rId6">
                      <a:extLst>
                        <a:ext uri="{28A0092B-C50C-407E-A947-70E740481C1C}">
                          <a14:useLocalDpi xmlns:a14="http://schemas.microsoft.com/office/drawing/2010/main" val="0"/>
                        </a:ext>
                      </a:extLst>
                    </a:blip>
                    <a:stretch>
                      <a:fillRect/>
                    </a:stretch>
                  </pic:blipFill>
                  <pic:spPr>
                    <a:xfrm>
                      <a:off x="0" y="0"/>
                      <a:ext cx="5731510" cy="2272030"/>
                    </a:xfrm>
                    <a:prstGeom prst="rect">
                      <a:avLst/>
                    </a:prstGeom>
                  </pic:spPr>
                </pic:pic>
              </a:graphicData>
            </a:graphic>
          </wp:inline>
        </w:drawing>
      </w:r>
    </w:p>
    <w:p w:rsidR="00E50203" w:rsidRDefault="00E50203">
      <w:pPr>
        <w:rPr>
          <w:rFonts w:ascii="Comic Sans MS" w:hAnsi="Comic Sans MS"/>
          <w:sz w:val="28"/>
          <w:szCs w:val="28"/>
        </w:rPr>
      </w:pPr>
    </w:p>
    <w:p w:rsidR="00E50203" w:rsidRDefault="00E50203">
      <w:pPr>
        <w:rPr>
          <w:rFonts w:ascii="Comic Sans MS" w:hAnsi="Comic Sans MS"/>
          <w:sz w:val="28"/>
          <w:szCs w:val="28"/>
        </w:rPr>
      </w:pPr>
      <w:r>
        <w:rPr>
          <w:rFonts w:ascii="Comic Sans MS" w:hAnsi="Comic Sans MS"/>
          <w:noProof/>
          <w:sz w:val="28"/>
          <w:szCs w:val="28"/>
          <w:lang w:val="es-ES" w:eastAsia="es-ES"/>
        </w:rPr>
        <w:drawing>
          <wp:inline distT="0" distB="0" distL="0" distR="0">
            <wp:extent cx="5731510" cy="2950845"/>
            <wp:effectExtent l="0" t="0" r="254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es covid e hipertension.jpg"/>
                    <pic:cNvPicPr/>
                  </pic:nvPicPr>
                  <pic:blipFill>
                    <a:blip r:embed="rId7">
                      <a:extLst>
                        <a:ext uri="{28A0092B-C50C-407E-A947-70E740481C1C}">
                          <a14:useLocalDpi xmlns:a14="http://schemas.microsoft.com/office/drawing/2010/main" val="0"/>
                        </a:ext>
                      </a:extLst>
                    </a:blip>
                    <a:stretch>
                      <a:fillRect/>
                    </a:stretch>
                  </pic:blipFill>
                  <pic:spPr>
                    <a:xfrm>
                      <a:off x="0" y="0"/>
                      <a:ext cx="5731510" cy="2950845"/>
                    </a:xfrm>
                    <a:prstGeom prst="rect">
                      <a:avLst/>
                    </a:prstGeom>
                  </pic:spPr>
                </pic:pic>
              </a:graphicData>
            </a:graphic>
          </wp:inline>
        </w:drawing>
      </w:r>
    </w:p>
    <w:p w:rsidR="00E50203" w:rsidRDefault="00E50203">
      <w:pPr>
        <w:rPr>
          <w:rFonts w:ascii="Comic Sans MS" w:hAnsi="Comic Sans MS"/>
          <w:sz w:val="28"/>
          <w:szCs w:val="28"/>
        </w:rPr>
      </w:pPr>
      <w:r>
        <w:rPr>
          <w:rFonts w:ascii="Comic Sans MS" w:hAnsi="Comic Sans MS"/>
          <w:noProof/>
          <w:sz w:val="28"/>
          <w:szCs w:val="28"/>
          <w:lang w:val="es-ES" w:eastAsia="es-ES"/>
        </w:rPr>
        <w:drawing>
          <wp:inline distT="0" distB="0" distL="0" distR="0">
            <wp:extent cx="4124325" cy="22002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bajo hipertension chino 1.jpg"/>
                    <pic:cNvPicPr/>
                  </pic:nvPicPr>
                  <pic:blipFill>
                    <a:blip r:embed="rId8">
                      <a:extLst>
                        <a:ext uri="{28A0092B-C50C-407E-A947-70E740481C1C}">
                          <a14:useLocalDpi xmlns:a14="http://schemas.microsoft.com/office/drawing/2010/main" val="0"/>
                        </a:ext>
                      </a:extLst>
                    </a:blip>
                    <a:stretch>
                      <a:fillRect/>
                    </a:stretch>
                  </pic:blipFill>
                  <pic:spPr>
                    <a:xfrm>
                      <a:off x="0" y="0"/>
                      <a:ext cx="4124325" cy="2200275"/>
                    </a:xfrm>
                    <a:prstGeom prst="rect">
                      <a:avLst/>
                    </a:prstGeom>
                  </pic:spPr>
                </pic:pic>
              </a:graphicData>
            </a:graphic>
          </wp:inline>
        </w:drawing>
      </w:r>
    </w:p>
    <w:p w:rsidR="00E50203" w:rsidRDefault="00E50203">
      <w:pPr>
        <w:rPr>
          <w:rFonts w:ascii="Comic Sans MS" w:hAnsi="Comic Sans MS"/>
          <w:sz w:val="28"/>
          <w:szCs w:val="28"/>
        </w:rPr>
      </w:pPr>
      <w:r>
        <w:rPr>
          <w:rFonts w:ascii="Comic Sans MS" w:hAnsi="Comic Sans MS"/>
          <w:sz w:val="28"/>
          <w:szCs w:val="28"/>
        </w:rPr>
        <w:t>En el momento actual no disponemos de ensayos clínicos randomizados u observacionales que justifiquen la discontinuación de los I-ECA y ARA-II y por lo tanto los pacientes hipertensos especialmente con cardiopatía deben continuar con estos tratamientos con alta adherencia. Hay no obstante urgencia en disponer de evidencia sólida de valor pronóstico y terapéutico en los pacientes hipertensos con COVID-19 debido a que tanto un efecto positivo o negativo tiene importantes implicaciones pragmáticas dadas la rápida difusión de la infección.</w:t>
      </w:r>
    </w:p>
    <w:p w:rsidR="00314E12" w:rsidRDefault="00B1574F">
      <w:pPr>
        <w:rPr>
          <w:rFonts w:ascii="Comic Sans MS" w:hAnsi="Comic Sans MS"/>
          <w:b/>
          <w:sz w:val="28"/>
          <w:szCs w:val="28"/>
        </w:rPr>
      </w:pPr>
      <w:r w:rsidRPr="00314E12">
        <w:rPr>
          <w:rFonts w:ascii="Comic Sans MS" w:hAnsi="Comic Sans MS"/>
          <w:b/>
          <w:sz w:val="28"/>
          <w:szCs w:val="28"/>
        </w:rPr>
        <w:t>Por qué</w:t>
      </w:r>
      <w:r w:rsidR="00314E12" w:rsidRPr="00314E12">
        <w:rPr>
          <w:rFonts w:ascii="Comic Sans MS" w:hAnsi="Comic Sans MS"/>
          <w:b/>
          <w:sz w:val="28"/>
          <w:szCs w:val="28"/>
        </w:rPr>
        <w:t xml:space="preserve"> la diabetes introduce un riesgo superior?</w:t>
      </w:r>
    </w:p>
    <w:p w:rsidR="00314E12" w:rsidRDefault="008F0F1B">
      <w:pPr>
        <w:rPr>
          <w:rFonts w:ascii="Comic Sans MS" w:hAnsi="Comic Sans MS"/>
          <w:sz w:val="28"/>
          <w:szCs w:val="28"/>
        </w:rPr>
      </w:pPr>
      <w:r>
        <w:rPr>
          <w:rFonts w:ascii="Comic Sans MS" w:hAnsi="Comic Sans MS"/>
          <w:sz w:val="28"/>
          <w:szCs w:val="28"/>
        </w:rPr>
        <w:t>Los diabéticos constituyen un subgrupo con un riesgo elevado para el COVID-19.</w:t>
      </w:r>
    </w:p>
    <w:p w:rsidR="008F0F1B" w:rsidRDefault="008F0F1B">
      <w:pPr>
        <w:rPr>
          <w:rFonts w:ascii="Comic Sans MS" w:hAnsi="Comic Sans MS"/>
          <w:sz w:val="28"/>
          <w:szCs w:val="28"/>
        </w:rPr>
      </w:pPr>
      <w:r>
        <w:rPr>
          <w:rFonts w:ascii="Comic Sans MS" w:hAnsi="Comic Sans MS"/>
          <w:sz w:val="28"/>
          <w:szCs w:val="28"/>
        </w:rPr>
        <w:t>Los niveles de glicemia y la diabetes son predictores independientes de mortalidad y mor</w:t>
      </w:r>
      <w:r w:rsidR="00AD70BA">
        <w:rPr>
          <w:rFonts w:ascii="Comic Sans MS" w:hAnsi="Comic Sans MS"/>
          <w:sz w:val="28"/>
          <w:szCs w:val="28"/>
        </w:rPr>
        <w:t>bilidad en pacientes con SARS-CoV-2.</w:t>
      </w:r>
    </w:p>
    <w:p w:rsidR="00AD70BA" w:rsidRDefault="00AD70BA">
      <w:pPr>
        <w:rPr>
          <w:rFonts w:ascii="Comic Sans MS" w:hAnsi="Comic Sans MS"/>
          <w:sz w:val="28"/>
          <w:szCs w:val="28"/>
        </w:rPr>
      </w:pPr>
      <w:r>
        <w:rPr>
          <w:rFonts w:ascii="Comic Sans MS" w:hAnsi="Comic Sans MS"/>
          <w:sz w:val="28"/>
          <w:szCs w:val="28"/>
        </w:rPr>
        <w:t>Hay varios mecanismos estudiados hasta el momento actual que son:</w:t>
      </w:r>
    </w:p>
    <w:p w:rsidR="00AD70BA" w:rsidRDefault="00AD70BA">
      <w:pPr>
        <w:rPr>
          <w:rFonts w:ascii="Comic Sans MS" w:hAnsi="Comic Sans MS"/>
          <w:sz w:val="28"/>
          <w:szCs w:val="28"/>
        </w:rPr>
      </w:pPr>
      <w:r>
        <w:rPr>
          <w:rFonts w:ascii="Comic Sans MS" w:hAnsi="Comic Sans MS"/>
          <w:sz w:val="28"/>
          <w:szCs w:val="28"/>
        </w:rPr>
        <w:t xml:space="preserve">1-Mayor afinidad del </w:t>
      </w:r>
      <w:r w:rsidR="00E4699C">
        <w:rPr>
          <w:rFonts w:ascii="Comic Sans MS" w:hAnsi="Comic Sans MS"/>
          <w:sz w:val="28"/>
          <w:szCs w:val="28"/>
        </w:rPr>
        <w:t>vínculo</w:t>
      </w:r>
      <w:r>
        <w:rPr>
          <w:rFonts w:ascii="Comic Sans MS" w:hAnsi="Comic Sans MS"/>
          <w:sz w:val="28"/>
          <w:szCs w:val="28"/>
        </w:rPr>
        <w:t xml:space="preserve"> celular con una entrada del virus </w:t>
      </w:r>
      <w:r w:rsidR="00E4699C">
        <w:rPr>
          <w:rFonts w:ascii="Comic Sans MS" w:hAnsi="Comic Sans MS"/>
          <w:sz w:val="28"/>
          <w:szCs w:val="28"/>
        </w:rPr>
        <w:t>más</w:t>
      </w:r>
      <w:r>
        <w:rPr>
          <w:rFonts w:ascii="Comic Sans MS" w:hAnsi="Comic Sans MS"/>
          <w:sz w:val="28"/>
          <w:szCs w:val="28"/>
        </w:rPr>
        <w:t xml:space="preserve"> eficiente</w:t>
      </w:r>
    </w:p>
    <w:p w:rsidR="00AD70BA" w:rsidRDefault="00AD70BA">
      <w:pPr>
        <w:rPr>
          <w:rFonts w:ascii="Comic Sans MS" w:hAnsi="Comic Sans MS"/>
          <w:sz w:val="28"/>
          <w:szCs w:val="28"/>
        </w:rPr>
      </w:pPr>
      <w:r>
        <w:rPr>
          <w:rFonts w:ascii="Comic Sans MS" w:hAnsi="Comic Sans MS"/>
          <w:sz w:val="28"/>
          <w:szCs w:val="28"/>
        </w:rPr>
        <w:t>2-Disminucion del aclaramiento del virus</w:t>
      </w:r>
    </w:p>
    <w:p w:rsidR="00AD70BA" w:rsidRDefault="00AD70BA">
      <w:pPr>
        <w:rPr>
          <w:rFonts w:ascii="Comic Sans MS" w:hAnsi="Comic Sans MS"/>
          <w:sz w:val="28"/>
          <w:szCs w:val="28"/>
        </w:rPr>
      </w:pPr>
      <w:r>
        <w:rPr>
          <w:rFonts w:ascii="Comic Sans MS" w:hAnsi="Comic Sans MS"/>
          <w:sz w:val="28"/>
          <w:szCs w:val="28"/>
        </w:rPr>
        <w:t xml:space="preserve">3-Disminucion de la función de las </w:t>
      </w:r>
      <w:r w:rsidR="00E4699C">
        <w:rPr>
          <w:rFonts w:ascii="Comic Sans MS" w:hAnsi="Comic Sans MS"/>
          <w:sz w:val="28"/>
          <w:szCs w:val="28"/>
        </w:rPr>
        <w:t>células</w:t>
      </w:r>
      <w:r>
        <w:rPr>
          <w:rFonts w:ascii="Comic Sans MS" w:hAnsi="Comic Sans MS"/>
          <w:sz w:val="28"/>
          <w:szCs w:val="28"/>
        </w:rPr>
        <w:t xml:space="preserve"> T</w:t>
      </w:r>
    </w:p>
    <w:p w:rsidR="00AD70BA" w:rsidRDefault="00AD70BA">
      <w:pPr>
        <w:rPr>
          <w:rFonts w:ascii="Comic Sans MS" w:hAnsi="Comic Sans MS"/>
          <w:sz w:val="28"/>
          <w:szCs w:val="28"/>
        </w:rPr>
      </w:pPr>
      <w:r>
        <w:rPr>
          <w:rFonts w:ascii="Comic Sans MS" w:hAnsi="Comic Sans MS"/>
          <w:sz w:val="28"/>
          <w:szCs w:val="28"/>
        </w:rPr>
        <w:t>4-mayor susceptibilidad a la hiperinflamacion y al síndrome de tormenta de citokinas</w:t>
      </w:r>
    </w:p>
    <w:p w:rsidR="00AD70BA" w:rsidRDefault="00AD70BA">
      <w:pPr>
        <w:rPr>
          <w:rFonts w:ascii="Comic Sans MS" w:hAnsi="Comic Sans MS"/>
          <w:sz w:val="28"/>
          <w:szCs w:val="28"/>
        </w:rPr>
      </w:pPr>
      <w:r>
        <w:rPr>
          <w:rFonts w:ascii="Comic Sans MS" w:hAnsi="Comic Sans MS"/>
          <w:sz w:val="28"/>
          <w:szCs w:val="28"/>
        </w:rPr>
        <w:t>5-Niveles circulantes elevados de furina que es una proteasa celular que facilita la entrada del virus</w:t>
      </w:r>
    </w:p>
    <w:p w:rsidR="00AD70BA" w:rsidRDefault="00AD70BA">
      <w:pPr>
        <w:rPr>
          <w:rFonts w:ascii="Comic Sans MS" w:hAnsi="Comic Sans MS"/>
          <w:sz w:val="28"/>
          <w:szCs w:val="28"/>
        </w:rPr>
      </w:pPr>
      <w:r>
        <w:rPr>
          <w:rFonts w:ascii="Comic Sans MS" w:hAnsi="Comic Sans MS"/>
          <w:sz w:val="28"/>
          <w:szCs w:val="28"/>
        </w:rPr>
        <w:t>6-Inhibicion de la quimiotaxis de los neutrófilos</w:t>
      </w:r>
    </w:p>
    <w:p w:rsidR="00AD70BA" w:rsidRDefault="00AD70BA">
      <w:pPr>
        <w:rPr>
          <w:rFonts w:ascii="Comic Sans MS" w:hAnsi="Comic Sans MS"/>
          <w:sz w:val="28"/>
          <w:szCs w:val="28"/>
        </w:rPr>
      </w:pPr>
      <w:r>
        <w:rPr>
          <w:rFonts w:ascii="Comic Sans MS" w:hAnsi="Comic Sans MS"/>
          <w:sz w:val="28"/>
          <w:szCs w:val="28"/>
        </w:rPr>
        <w:t>7-Disminucion de la fagocitosis y de la muerte intracelular de las bacterias</w:t>
      </w:r>
    </w:p>
    <w:p w:rsidR="00AD70BA" w:rsidRDefault="00AD70BA">
      <w:pPr>
        <w:rPr>
          <w:rFonts w:ascii="Comic Sans MS" w:hAnsi="Comic Sans MS"/>
          <w:sz w:val="28"/>
          <w:szCs w:val="28"/>
        </w:rPr>
      </w:pPr>
      <w:r>
        <w:rPr>
          <w:rFonts w:ascii="Comic Sans MS" w:hAnsi="Comic Sans MS"/>
          <w:sz w:val="28"/>
          <w:szCs w:val="28"/>
        </w:rPr>
        <w:t xml:space="preserve">8-Afectaciones de la inmunidad adaptativa. En animales </w:t>
      </w:r>
      <w:r w:rsidR="00CD3879">
        <w:rPr>
          <w:rFonts w:ascii="Comic Sans MS" w:hAnsi="Comic Sans MS"/>
          <w:sz w:val="28"/>
          <w:szCs w:val="28"/>
        </w:rPr>
        <w:t xml:space="preserve">se demostraron </w:t>
      </w:r>
      <w:r>
        <w:rPr>
          <w:rFonts w:ascii="Comic Sans MS" w:hAnsi="Comic Sans MS"/>
          <w:sz w:val="28"/>
          <w:szCs w:val="28"/>
        </w:rPr>
        <w:t>alterac</w:t>
      </w:r>
      <w:r w:rsidR="00793305">
        <w:rPr>
          <w:rFonts w:ascii="Comic Sans MS" w:hAnsi="Comic Sans MS"/>
          <w:sz w:val="28"/>
          <w:szCs w:val="28"/>
        </w:rPr>
        <w:t>iones en CD4</w:t>
      </w:r>
      <w:r w:rsidR="00E4699C">
        <w:rPr>
          <w:rFonts w:ascii="Comic Sans MS" w:hAnsi="Comic Sans MS"/>
          <w:sz w:val="28"/>
          <w:szCs w:val="28"/>
        </w:rPr>
        <w:t>, conteos</w:t>
      </w:r>
      <w:r w:rsidR="00793305">
        <w:rPr>
          <w:rFonts w:ascii="Comic Sans MS" w:hAnsi="Comic Sans MS"/>
          <w:sz w:val="28"/>
          <w:szCs w:val="28"/>
        </w:rPr>
        <w:t xml:space="preserve"> de </w:t>
      </w:r>
      <w:r w:rsidR="00E4699C">
        <w:rPr>
          <w:rFonts w:ascii="Comic Sans MS" w:hAnsi="Comic Sans MS"/>
          <w:sz w:val="28"/>
          <w:szCs w:val="28"/>
        </w:rPr>
        <w:t>células</w:t>
      </w:r>
      <w:r w:rsidR="00793305">
        <w:rPr>
          <w:rFonts w:ascii="Comic Sans MS" w:hAnsi="Comic Sans MS"/>
          <w:sz w:val="28"/>
          <w:szCs w:val="28"/>
        </w:rPr>
        <w:t xml:space="preserve"> T </w:t>
      </w:r>
      <w:r w:rsidR="00E4699C">
        <w:rPr>
          <w:rFonts w:ascii="Comic Sans MS" w:hAnsi="Comic Sans MS"/>
          <w:sz w:val="28"/>
          <w:szCs w:val="28"/>
        </w:rPr>
        <w:t>y respuesta</w:t>
      </w:r>
      <w:r w:rsidR="00793305">
        <w:rPr>
          <w:rFonts w:ascii="Comic Sans MS" w:hAnsi="Comic Sans MS"/>
          <w:sz w:val="28"/>
          <w:szCs w:val="28"/>
        </w:rPr>
        <w:t xml:space="preserve"> de </w:t>
      </w:r>
      <w:r w:rsidR="00E4699C">
        <w:rPr>
          <w:rFonts w:ascii="Comic Sans MS" w:hAnsi="Comic Sans MS"/>
          <w:sz w:val="28"/>
          <w:szCs w:val="28"/>
        </w:rPr>
        <w:t>citoquinas</w:t>
      </w:r>
      <w:r w:rsidR="00793305">
        <w:rPr>
          <w:rFonts w:ascii="Comic Sans MS" w:hAnsi="Comic Sans MS"/>
          <w:sz w:val="28"/>
          <w:szCs w:val="28"/>
        </w:rPr>
        <w:t xml:space="preserve"> anormales IL17.</w:t>
      </w:r>
    </w:p>
    <w:p w:rsidR="00793305" w:rsidRDefault="00793305">
      <w:pPr>
        <w:rPr>
          <w:rFonts w:ascii="Comic Sans MS" w:hAnsi="Comic Sans MS"/>
          <w:sz w:val="28"/>
          <w:szCs w:val="28"/>
        </w:rPr>
      </w:pPr>
      <w:r>
        <w:rPr>
          <w:rFonts w:ascii="Comic Sans MS" w:hAnsi="Comic Sans MS"/>
          <w:sz w:val="28"/>
          <w:szCs w:val="28"/>
        </w:rPr>
        <w:t>9-Respuesta anti viral lenta</w:t>
      </w:r>
    </w:p>
    <w:p w:rsidR="00793305" w:rsidRDefault="00793305">
      <w:pPr>
        <w:rPr>
          <w:rFonts w:ascii="Comic Sans MS" w:hAnsi="Comic Sans MS"/>
          <w:sz w:val="28"/>
          <w:szCs w:val="28"/>
        </w:rPr>
      </w:pPr>
      <w:r>
        <w:rPr>
          <w:rFonts w:ascii="Comic Sans MS" w:hAnsi="Comic Sans MS"/>
          <w:sz w:val="28"/>
          <w:szCs w:val="28"/>
        </w:rPr>
        <w:t>10-Presencia de cardiopatía isquémica y daño vascular.</w:t>
      </w:r>
    </w:p>
    <w:p w:rsidR="00793305" w:rsidRDefault="00793305">
      <w:pPr>
        <w:rPr>
          <w:rFonts w:ascii="Comic Sans MS" w:hAnsi="Comic Sans MS"/>
          <w:sz w:val="28"/>
          <w:szCs w:val="28"/>
        </w:rPr>
      </w:pPr>
      <w:r>
        <w:rPr>
          <w:rFonts w:ascii="Comic Sans MS" w:hAnsi="Comic Sans MS"/>
          <w:sz w:val="28"/>
          <w:szCs w:val="28"/>
        </w:rPr>
        <w:t xml:space="preserve">Los diabéticos tienen un aumento de la expresión de ACE2 en las </w:t>
      </w:r>
      <w:r w:rsidR="00E4699C">
        <w:rPr>
          <w:rFonts w:ascii="Comic Sans MS" w:hAnsi="Comic Sans MS"/>
          <w:sz w:val="28"/>
          <w:szCs w:val="28"/>
        </w:rPr>
        <w:t>células</w:t>
      </w:r>
      <w:r>
        <w:rPr>
          <w:rFonts w:ascii="Comic Sans MS" w:hAnsi="Comic Sans MS"/>
          <w:sz w:val="28"/>
          <w:szCs w:val="28"/>
        </w:rPr>
        <w:t xml:space="preserve"> alveolares, miocardio, </w:t>
      </w:r>
      <w:r w:rsidR="00E4699C">
        <w:rPr>
          <w:rFonts w:ascii="Comic Sans MS" w:hAnsi="Comic Sans MS"/>
          <w:sz w:val="28"/>
          <w:szCs w:val="28"/>
        </w:rPr>
        <w:t>riñón</w:t>
      </w:r>
      <w:r>
        <w:rPr>
          <w:rFonts w:ascii="Comic Sans MS" w:hAnsi="Comic Sans MS"/>
          <w:sz w:val="28"/>
          <w:szCs w:val="28"/>
        </w:rPr>
        <w:t xml:space="preserve"> y páncreas lo que incrementa el </w:t>
      </w:r>
      <w:r w:rsidR="00E4699C">
        <w:rPr>
          <w:rFonts w:ascii="Comic Sans MS" w:hAnsi="Comic Sans MS"/>
          <w:sz w:val="28"/>
          <w:szCs w:val="28"/>
        </w:rPr>
        <w:t>vínculo</w:t>
      </w:r>
      <w:r>
        <w:rPr>
          <w:rFonts w:ascii="Comic Sans MS" w:hAnsi="Comic Sans MS"/>
          <w:sz w:val="28"/>
          <w:szCs w:val="28"/>
        </w:rPr>
        <w:t xml:space="preserve"> entre el virus y la </w:t>
      </w:r>
      <w:r w:rsidR="00E4699C">
        <w:rPr>
          <w:rFonts w:ascii="Comic Sans MS" w:hAnsi="Comic Sans MS"/>
          <w:sz w:val="28"/>
          <w:szCs w:val="28"/>
        </w:rPr>
        <w:t>célula</w:t>
      </w:r>
      <w:r>
        <w:rPr>
          <w:rFonts w:ascii="Comic Sans MS" w:hAnsi="Comic Sans MS"/>
          <w:sz w:val="28"/>
          <w:szCs w:val="28"/>
        </w:rPr>
        <w:t xml:space="preserve">. La insulina </w:t>
      </w:r>
      <w:r w:rsidR="00E4699C">
        <w:rPr>
          <w:rFonts w:ascii="Comic Sans MS" w:hAnsi="Comic Sans MS"/>
          <w:sz w:val="28"/>
          <w:szCs w:val="28"/>
        </w:rPr>
        <w:t>atenúa</w:t>
      </w:r>
      <w:r>
        <w:rPr>
          <w:rFonts w:ascii="Comic Sans MS" w:hAnsi="Comic Sans MS"/>
          <w:sz w:val="28"/>
          <w:szCs w:val="28"/>
        </w:rPr>
        <w:t xml:space="preserve"> la expresión de ACE2 mientras que otros </w:t>
      </w:r>
      <w:r w:rsidR="00E4699C">
        <w:rPr>
          <w:rFonts w:ascii="Comic Sans MS" w:hAnsi="Comic Sans MS"/>
          <w:sz w:val="28"/>
          <w:szCs w:val="28"/>
        </w:rPr>
        <w:t>hipoglucemiantes</w:t>
      </w:r>
      <w:r>
        <w:rPr>
          <w:rFonts w:ascii="Comic Sans MS" w:hAnsi="Comic Sans MS"/>
          <w:sz w:val="28"/>
          <w:szCs w:val="28"/>
        </w:rPr>
        <w:t xml:space="preserve"> incrementan su expresión.</w:t>
      </w:r>
    </w:p>
    <w:p w:rsidR="005A57A2" w:rsidRDefault="00793305">
      <w:pPr>
        <w:rPr>
          <w:rFonts w:ascii="Comic Sans MS" w:hAnsi="Comic Sans MS"/>
          <w:sz w:val="28"/>
          <w:szCs w:val="28"/>
        </w:rPr>
      </w:pPr>
      <w:r>
        <w:rPr>
          <w:rFonts w:ascii="Comic Sans MS" w:hAnsi="Comic Sans MS"/>
          <w:sz w:val="28"/>
          <w:szCs w:val="28"/>
        </w:rPr>
        <w:t xml:space="preserve">Todo esto nos demuestra el alto riesgo que tienen los diabéticos al infestarse por COVID-19. En países con disparidad en la atención </w:t>
      </w:r>
      <w:r w:rsidR="00E4699C">
        <w:rPr>
          <w:rFonts w:ascii="Comic Sans MS" w:hAnsi="Comic Sans MS"/>
          <w:sz w:val="28"/>
          <w:szCs w:val="28"/>
        </w:rPr>
        <w:t>médica</w:t>
      </w:r>
      <w:r>
        <w:rPr>
          <w:rFonts w:ascii="Comic Sans MS" w:hAnsi="Comic Sans MS"/>
          <w:sz w:val="28"/>
          <w:szCs w:val="28"/>
        </w:rPr>
        <w:t xml:space="preserve"> este subgrupo tiene un riesgo aun mayor según reportes actuales en New York.</w:t>
      </w:r>
    </w:p>
    <w:p w:rsidR="005A57A2" w:rsidRDefault="005A57A2">
      <w:pPr>
        <w:rPr>
          <w:rFonts w:ascii="Comic Sans MS" w:hAnsi="Comic Sans MS"/>
          <w:sz w:val="28"/>
          <w:szCs w:val="28"/>
        </w:rPr>
      </w:pPr>
    </w:p>
    <w:p w:rsidR="00742AC4" w:rsidRDefault="00E4699C" w:rsidP="00E4699C">
      <w:pPr>
        <w:rPr>
          <w:rFonts w:ascii="Comic Sans MS" w:hAnsi="Comic Sans MS"/>
          <w:b/>
          <w:sz w:val="28"/>
          <w:szCs w:val="28"/>
        </w:rPr>
      </w:pPr>
      <w:r>
        <w:rPr>
          <w:rFonts w:ascii="Comic Sans MS" w:hAnsi="Comic Sans MS"/>
          <w:b/>
          <w:sz w:val="28"/>
          <w:szCs w:val="28"/>
        </w:rPr>
        <w:t>Consideraciones generales para el tratamiento</w:t>
      </w:r>
    </w:p>
    <w:p w:rsidR="00E4699C" w:rsidRDefault="00E4699C" w:rsidP="00E4699C">
      <w:pPr>
        <w:rPr>
          <w:rFonts w:ascii="Comic Sans MS" w:hAnsi="Comic Sans MS"/>
          <w:b/>
          <w:sz w:val="28"/>
          <w:szCs w:val="28"/>
        </w:rPr>
      </w:pPr>
    </w:p>
    <w:p w:rsidR="00E4699C" w:rsidRDefault="00E4699C" w:rsidP="00E4699C">
      <w:pPr>
        <w:pStyle w:val="Prrafodelista"/>
        <w:numPr>
          <w:ilvl w:val="0"/>
          <w:numId w:val="3"/>
        </w:numPr>
        <w:rPr>
          <w:rFonts w:ascii="Comic Sans MS" w:hAnsi="Comic Sans MS"/>
          <w:sz w:val="28"/>
          <w:szCs w:val="28"/>
        </w:rPr>
      </w:pPr>
      <w:r w:rsidRPr="00E4699C">
        <w:rPr>
          <w:rFonts w:ascii="Comic Sans MS" w:hAnsi="Comic Sans MS"/>
          <w:sz w:val="28"/>
          <w:szCs w:val="28"/>
        </w:rPr>
        <w:t>El tratamiento debe ser</w:t>
      </w:r>
      <w:r>
        <w:rPr>
          <w:rFonts w:ascii="Comic Sans MS" w:hAnsi="Comic Sans MS"/>
          <w:sz w:val="28"/>
          <w:szCs w:val="28"/>
        </w:rPr>
        <w:t xml:space="preserve"> en equipo</w:t>
      </w:r>
      <w:r w:rsidRPr="00E4699C">
        <w:rPr>
          <w:rFonts w:ascii="Comic Sans MS" w:hAnsi="Comic Sans MS"/>
          <w:sz w:val="28"/>
          <w:szCs w:val="28"/>
        </w:rPr>
        <w:t xml:space="preserve"> multidisciplinario</w:t>
      </w:r>
      <w:r>
        <w:rPr>
          <w:rFonts w:ascii="Comic Sans MS" w:hAnsi="Comic Sans MS"/>
          <w:sz w:val="28"/>
          <w:szCs w:val="28"/>
        </w:rPr>
        <w:t xml:space="preserve"> </w:t>
      </w:r>
    </w:p>
    <w:p w:rsidR="00E4699C" w:rsidRDefault="00E4699C" w:rsidP="00E4699C">
      <w:pPr>
        <w:pStyle w:val="Prrafodelista"/>
        <w:numPr>
          <w:ilvl w:val="0"/>
          <w:numId w:val="3"/>
        </w:numPr>
        <w:rPr>
          <w:rFonts w:ascii="Comic Sans MS" w:hAnsi="Comic Sans MS"/>
          <w:sz w:val="28"/>
          <w:szCs w:val="28"/>
        </w:rPr>
      </w:pPr>
      <w:r>
        <w:rPr>
          <w:rFonts w:ascii="Comic Sans MS" w:hAnsi="Comic Sans MS"/>
          <w:sz w:val="28"/>
          <w:szCs w:val="28"/>
        </w:rPr>
        <w:t xml:space="preserve">No hay terapéuticas con evidencia clínica </w:t>
      </w:r>
      <w:r w:rsidR="00526B55">
        <w:rPr>
          <w:rFonts w:ascii="Comic Sans MS" w:hAnsi="Comic Sans MS"/>
          <w:sz w:val="28"/>
          <w:szCs w:val="28"/>
        </w:rPr>
        <w:t>rigurosa existiendo mucha</w:t>
      </w:r>
      <w:r>
        <w:rPr>
          <w:rFonts w:ascii="Comic Sans MS" w:hAnsi="Comic Sans MS"/>
          <w:sz w:val="28"/>
          <w:szCs w:val="28"/>
        </w:rPr>
        <w:t xml:space="preserve"> información en evolución.</w:t>
      </w:r>
    </w:p>
    <w:p w:rsidR="00E4699C" w:rsidRDefault="00E4699C" w:rsidP="00E4699C">
      <w:pPr>
        <w:pStyle w:val="Prrafodelista"/>
        <w:numPr>
          <w:ilvl w:val="0"/>
          <w:numId w:val="3"/>
        </w:numPr>
        <w:rPr>
          <w:rFonts w:ascii="Comic Sans MS" w:hAnsi="Comic Sans MS"/>
          <w:sz w:val="28"/>
          <w:szCs w:val="28"/>
        </w:rPr>
      </w:pPr>
      <w:r>
        <w:rPr>
          <w:rFonts w:ascii="Comic Sans MS" w:hAnsi="Comic Sans MS"/>
          <w:sz w:val="28"/>
          <w:szCs w:val="28"/>
        </w:rPr>
        <w:t xml:space="preserve">Evitar lo anecdótico en ausencia de estudios concluyentes sin dejar de investigar </w:t>
      </w:r>
    </w:p>
    <w:p w:rsidR="00E4699C" w:rsidRDefault="00E4699C" w:rsidP="00E4699C">
      <w:pPr>
        <w:pStyle w:val="Prrafodelista"/>
        <w:numPr>
          <w:ilvl w:val="0"/>
          <w:numId w:val="3"/>
        </w:numPr>
        <w:rPr>
          <w:rFonts w:ascii="Comic Sans MS" w:hAnsi="Comic Sans MS"/>
          <w:sz w:val="28"/>
          <w:szCs w:val="28"/>
        </w:rPr>
      </w:pPr>
      <w:r>
        <w:rPr>
          <w:rFonts w:ascii="Comic Sans MS" w:hAnsi="Comic Sans MS"/>
          <w:sz w:val="28"/>
          <w:szCs w:val="28"/>
        </w:rPr>
        <w:t xml:space="preserve">La hidroxicloroquina afecta la acidificación lisosomal y endosomica necesaria para el acople virus </w:t>
      </w:r>
      <w:r w:rsidR="00EE66DB">
        <w:rPr>
          <w:rFonts w:ascii="Comic Sans MS" w:hAnsi="Comic Sans MS"/>
          <w:sz w:val="28"/>
          <w:szCs w:val="28"/>
        </w:rPr>
        <w:t>célula</w:t>
      </w:r>
      <w:r w:rsidR="007002FB">
        <w:rPr>
          <w:rFonts w:ascii="Comic Sans MS" w:hAnsi="Comic Sans MS"/>
          <w:sz w:val="28"/>
          <w:szCs w:val="28"/>
        </w:rPr>
        <w:t xml:space="preserve"> </w:t>
      </w:r>
      <w:r w:rsidR="00EE66DB">
        <w:rPr>
          <w:rFonts w:ascii="Comic Sans MS" w:hAnsi="Comic Sans MS"/>
          <w:sz w:val="28"/>
          <w:szCs w:val="28"/>
        </w:rPr>
        <w:t>e</w:t>
      </w:r>
      <w:r w:rsidR="007002FB">
        <w:rPr>
          <w:rFonts w:ascii="Comic Sans MS" w:hAnsi="Comic Sans MS"/>
          <w:sz w:val="28"/>
          <w:szCs w:val="28"/>
        </w:rPr>
        <w:t xml:space="preserve"> influye en la respuesta inmune. Fue promovido en un trial en Francia como muy efectivo no obstante hay reportes recientes en España y USA que dudan de su efectividad. Inhibe el CyP2D6 pudiendo aumentar el efecto </w:t>
      </w:r>
      <w:r w:rsidR="00EE66DB">
        <w:rPr>
          <w:rFonts w:ascii="Comic Sans MS" w:hAnsi="Comic Sans MS"/>
          <w:sz w:val="28"/>
          <w:szCs w:val="28"/>
        </w:rPr>
        <w:t>beta bloqueador</w:t>
      </w:r>
      <w:r w:rsidR="007002FB">
        <w:rPr>
          <w:rFonts w:ascii="Comic Sans MS" w:hAnsi="Comic Sans MS"/>
          <w:sz w:val="28"/>
          <w:szCs w:val="28"/>
        </w:rPr>
        <w:t xml:space="preserve"> y producir bradicardia, prolongación del PR e inclusive bloqueo AV</w:t>
      </w:r>
    </w:p>
    <w:p w:rsidR="007002FB" w:rsidRDefault="007002FB" w:rsidP="00E4699C">
      <w:pPr>
        <w:pStyle w:val="Prrafodelista"/>
        <w:numPr>
          <w:ilvl w:val="0"/>
          <w:numId w:val="3"/>
        </w:numPr>
        <w:rPr>
          <w:rFonts w:ascii="Comic Sans MS" w:hAnsi="Comic Sans MS"/>
          <w:sz w:val="28"/>
          <w:szCs w:val="28"/>
        </w:rPr>
      </w:pPr>
      <w:r>
        <w:rPr>
          <w:rFonts w:ascii="Comic Sans MS" w:hAnsi="Comic Sans MS"/>
          <w:sz w:val="28"/>
          <w:szCs w:val="28"/>
        </w:rPr>
        <w:t>La azitromicina tiene acción contra las citoquinas proinflamatorias, IL-6 y 8</w:t>
      </w:r>
    </w:p>
    <w:p w:rsidR="007002FB" w:rsidRDefault="007002FB" w:rsidP="00E4699C">
      <w:pPr>
        <w:pStyle w:val="Prrafodelista"/>
        <w:numPr>
          <w:ilvl w:val="0"/>
          <w:numId w:val="3"/>
        </w:numPr>
        <w:rPr>
          <w:rFonts w:ascii="Comic Sans MS" w:hAnsi="Comic Sans MS"/>
          <w:sz w:val="28"/>
          <w:szCs w:val="28"/>
        </w:rPr>
      </w:pPr>
      <w:r>
        <w:rPr>
          <w:rFonts w:ascii="Comic Sans MS" w:hAnsi="Comic Sans MS"/>
          <w:sz w:val="28"/>
          <w:szCs w:val="28"/>
        </w:rPr>
        <w:t xml:space="preserve">Lopinavir/ritonavir inhibidores proteasas puede causar hipertrigliceridemia e hipertensión pero su ventaja es superior al riesgo del efecto. Un estudio retrospectivo en un solo centro sugiere que puede agravar la evolución cardiovascular en pacientes con </w:t>
      </w:r>
      <w:r w:rsidR="00EE66DB">
        <w:rPr>
          <w:rFonts w:ascii="Comic Sans MS" w:hAnsi="Comic Sans MS"/>
          <w:sz w:val="28"/>
          <w:szCs w:val="28"/>
        </w:rPr>
        <w:t>SIDA e</w:t>
      </w:r>
      <w:r>
        <w:rPr>
          <w:rFonts w:ascii="Comic Sans MS" w:hAnsi="Comic Sans MS"/>
          <w:sz w:val="28"/>
          <w:szCs w:val="28"/>
        </w:rPr>
        <w:t xml:space="preserve"> insuficiencia cardiaca.</w:t>
      </w:r>
      <w:r w:rsidR="00526B55">
        <w:rPr>
          <w:rFonts w:ascii="Comic Sans MS" w:hAnsi="Comic Sans MS"/>
          <w:sz w:val="28"/>
          <w:szCs w:val="28"/>
        </w:rPr>
        <w:t xml:space="preserve"> Estos datos no son suficientes para restringir su uso.</w:t>
      </w:r>
    </w:p>
    <w:p w:rsidR="00526B55" w:rsidRDefault="00526B55" w:rsidP="00E4699C">
      <w:pPr>
        <w:pStyle w:val="Prrafodelista"/>
        <w:numPr>
          <w:ilvl w:val="0"/>
          <w:numId w:val="3"/>
        </w:numPr>
        <w:rPr>
          <w:rFonts w:ascii="Comic Sans MS" w:hAnsi="Comic Sans MS"/>
          <w:sz w:val="28"/>
          <w:szCs w:val="28"/>
        </w:rPr>
      </w:pPr>
      <w:r>
        <w:rPr>
          <w:rFonts w:ascii="Comic Sans MS" w:hAnsi="Comic Sans MS"/>
          <w:sz w:val="28"/>
          <w:szCs w:val="28"/>
        </w:rPr>
        <w:t xml:space="preserve">Tocilizumab es un anticuerpo monoclonal contra el receptor de interleukina 6 No tiene efectos cardiovasculares nocivos </w:t>
      </w:r>
    </w:p>
    <w:p w:rsidR="00526B55" w:rsidRDefault="00526B55" w:rsidP="00E4699C">
      <w:pPr>
        <w:pStyle w:val="Prrafodelista"/>
        <w:numPr>
          <w:ilvl w:val="0"/>
          <w:numId w:val="3"/>
        </w:numPr>
        <w:rPr>
          <w:rFonts w:ascii="Comic Sans MS" w:hAnsi="Comic Sans MS"/>
          <w:sz w:val="28"/>
          <w:szCs w:val="28"/>
        </w:rPr>
      </w:pPr>
      <w:r>
        <w:rPr>
          <w:rFonts w:ascii="Comic Sans MS" w:hAnsi="Comic Sans MS"/>
          <w:sz w:val="28"/>
          <w:szCs w:val="28"/>
        </w:rPr>
        <w:t xml:space="preserve">La anticoagulación con heparina no fraccionada o Enoxiheparina se debe dar si el </w:t>
      </w:r>
      <w:r w:rsidR="00EE66DB">
        <w:rPr>
          <w:rFonts w:ascii="Comic Sans MS" w:hAnsi="Comic Sans MS"/>
          <w:sz w:val="28"/>
          <w:szCs w:val="28"/>
        </w:rPr>
        <w:t>Dímero</w:t>
      </w:r>
      <w:r>
        <w:rPr>
          <w:rFonts w:ascii="Comic Sans MS" w:hAnsi="Comic Sans MS"/>
          <w:sz w:val="28"/>
          <w:szCs w:val="28"/>
        </w:rPr>
        <w:t xml:space="preserve">-D </w:t>
      </w:r>
      <w:r w:rsidR="00EE66DB">
        <w:rPr>
          <w:rFonts w:ascii="Comic Sans MS" w:hAnsi="Comic Sans MS"/>
          <w:sz w:val="28"/>
          <w:szCs w:val="28"/>
        </w:rPr>
        <w:t>está</w:t>
      </w:r>
      <w:r>
        <w:rPr>
          <w:rFonts w:ascii="Comic Sans MS" w:hAnsi="Comic Sans MS"/>
          <w:sz w:val="28"/>
          <w:szCs w:val="28"/>
        </w:rPr>
        <w:t xml:space="preserve"> muy elevado</w:t>
      </w:r>
    </w:p>
    <w:p w:rsidR="00526B55" w:rsidRDefault="00526B55" w:rsidP="00E4699C">
      <w:pPr>
        <w:pStyle w:val="Prrafodelista"/>
        <w:numPr>
          <w:ilvl w:val="0"/>
          <w:numId w:val="3"/>
        </w:numPr>
        <w:rPr>
          <w:rFonts w:ascii="Comic Sans MS" w:hAnsi="Comic Sans MS"/>
          <w:sz w:val="28"/>
          <w:szCs w:val="28"/>
        </w:rPr>
      </w:pPr>
      <w:r>
        <w:rPr>
          <w:rFonts w:ascii="Comic Sans MS" w:hAnsi="Comic Sans MS"/>
          <w:sz w:val="28"/>
          <w:szCs w:val="28"/>
        </w:rPr>
        <w:t>Si hay un infarto la trombolisis</w:t>
      </w:r>
      <w:r w:rsidR="004E597F">
        <w:rPr>
          <w:rFonts w:ascii="Comic Sans MS" w:hAnsi="Comic Sans MS"/>
          <w:sz w:val="28"/>
          <w:szCs w:val="28"/>
        </w:rPr>
        <w:t xml:space="preserve"> pasa a una primera opción con análisis individualizado dado que el acceso a la angioplastia de urgencia se dificulta.</w:t>
      </w:r>
    </w:p>
    <w:p w:rsidR="004E597F" w:rsidRDefault="004E597F" w:rsidP="00E4699C">
      <w:pPr>
        <w:pStyle w:val="Prrafodelista"/>
        <w:numPr>
          <w:ilvl w:val="0"/>
          <w:numId w:val="3"/>
        </w:numPr>
        <w:rPr>
          <w:rFonts w:ascii="Comic Sans MS" w:hAnsi="Comic Sans MS"/>
          <w:sz w:val="28"/>
          <w:szCs w:val="28"/>
        </w:rPr>
      </w:pPr>
      <w:r>
        <w:rPr>
          <w:rFonts w:ascii="Comic Sans MS" w:hAnsi="Comic Sans MS"/>
          <w:sz w:val="28"/>
          <w:szCs w:val="28"/>
        </w:rPr>
        <w:t xml:space="preserve">Si hay insuficiencia cardiaca se debe hacer una meticulosa revisión de los tratamientos de base aplicando las </w:t>
      </w:r>
      <w:r w:rsidR="00EE66DB">
        <w:rPr>
          <w:rFonts w:ascii="Comic Sans MS" w:hAnsi="Comic Sans MS"/>
          <w:sz w:val="28"/>
          <w:szCs w:val="28"/>
        </w:rPr>
        <w:t>guías</w:t>
      </w:r>
      <w:r>
        <w:rPr>
          <w:rFonts w:ascii="Comic Sans MS" w:hAnsi="Comic Sans MS"/>
          <w:sz w:val="28"/>
          <w:szCs w:val="28"/>
        </w:rPr>
        <w:t xml:space="preserve"> convencionales.</w:t>
      </w:r>
    </w:p>
    <w:p w:rsidR="004E597F" w:rsidRDefault="00E576EE" w:rsidP="00E4699C">
      <w:pPr>
        <w:pStyle w:val="Prrafodelista"/>
        <w:numPr>
          <w:ilvl w:val="0"/>
          <w:numId w:val="3"/>
        </w:numPr>
        <w:rPr>
          <w:rFonts w:ascii="Comic Sans MS" w:hAnsi="Comic Sans MS"/>
          <w:sz w:val="28"/>
          <w:szCs w:val="28"/>
        </w:rPr>
      </w:pPr>
      <w:r>
        <w:rPr>
          <w:rFonts w:ascii="Comic Sans MS" w:hAnsi="Comic Sans MS"/>
          <w:sz w:val="28"/>
          <w:szCs w:val="28"/>
        </w:rPr>
        <w:t>Digoxina se debe vigilar cuidadosamente si hay Kaletra, Hidroxicloroquina</w:t>
      </w:r>
    </w:p>
    <w:p w:rsidR="00E576EE" w:rsidRDefault="00E576EE" w:rsidP="00E4699C">
      <w:pPr>
        <w:pStyle w:val="Prrafodelista"/>
        <w:numPr>
          <w:ilvl w:val="0"/>
          <w:numId w:val="3"/>
        </w:numPr>
        <w:rPr>
          <w:rFonts w:ascii="Comic Sans MS" w:hAnsi="Comic Sans MS"/>
          <w:sz w:val="28"/>
          <w:szCs w:val="28"/>
        </w:rPr>
      </w:pPr>
      <w:r>
        <w:rPr>
          <w:rFonts w:ascii="Comic Sans MS" w:hAnsi="Comic Sans MS"/>
          <w:sz w:val="28"/>
          <w:szCs w:val="28"/>
        </w:rPr>
        <w:t xml:space="preserve">Espirolactona se puede usar en el daño </w:t>
      </w:r>
      <w:r w:rsidR="00EE66DB">
        <w:rPr>
          <w:rFonts w:ascii="Comic Sans MS" w:hAnsi="Comic Sans MS"/>
          <w:sz w:val="28"/>
          <w:szCs w:val="28"/>
        </w:rPr>
        <w:t>miocárdico</w:t>
      </w:r>
      <w:r>
        <w:rPr>
          <w:rFonts w:ascii="Comic Sans MS" w:hAnsi="Comic Sans MS"/>
          <w:sz w:val="28"/>
          <w:szCs w:val="28"/>
        </w:rPr>
        <w:t xml:space="preserve"> con reportes favorables no controlados.</w:t>
      </w:r>
    </w:p>
    <w:p w:rsidR="00E576EE" w:rsidRDefault="00E576EE" w:rsidP="00E4699C">
      <w:pPr>
        <w:pStyle w:val="Prrafodelista"/>
        <w:numPr>
          <w:ilvl w:val="0"/>
          <w:numId w:val="3"/>
        </w:numPr>
        <w:rPr>
          <w:rFonts w:ascii="Comic Sans MS" w:hAnsi="Comic Sans MS"/>
          <w:sz w:val="28"/>
          <w:szCs w:val="28"/>
        </w:rPr>
      </w:pPr>
      <w:r>
        <w:rPr>
          <w:rFonts w:ascii="Comic Sans MS" w:hAnsi="Comic Sans MS"/>
          <w:sz w:val="28"/>
          <w:szCs w:val="28"/>
        </w:rPr>
        <w:t>Es frecuente la coexistencia d</w:t>
      </w:r>
      <w:r w:rsidR="00EE66DB">
        <w:rPr>
          <w:rFonts w:ascii="Comic Sans MS" w:hAnsi="Comic Sans MS"/>
          <w:sz w:val="28"/>
          <w:szCs w:val="28"/>
        </w:rPr>
        <w:t>el daño miocárdico y el distres</w:t>
      </w:r>
      <w:r>
        <w:rPr>
          <w:rFonts w:ascii="Comic Sans MS" w:hAnsi="Comic Sans MS"/>
          <w:sz w:val="28"/>
          <w:szCs w:val="28"/>
        </w:rPr>
        <w:t xml:space="preserve"> respiratorio aunque puede verse aislado casi como excepción.</w:t>
      </w:r>
    </w:p>
    <w:p w:rsidR="00E576EE" w:rsidRDefault="00E576EE" w:rsidP="00E4699C">
      <w:pPr>
        <w:pStyle w:val="Prrafodelista"/>
        <w:numPr>
          <w:ilvl w:val="0"/>
          <w:numId w:val="3"/>
        </w:numPr>
        <w:rPr>
          <w:rFonts w:ascii="Comic Sans MS" w:hAnsi="Comic Sans MS"/>
          <w:sz w:val="28"/>
          <w:szCs w:val="28"/>
        </w:rPr>
      </w:pPr>
      <w:r>
        <w:rPr>
          <w:rFonts w:ascii="Comic Sans MS" w:hAnsi="Comic Sans MS"/>
          <w:sz w:val="28"/>
          <w:szCs w:val="28"/>
        </w:rPr>
        <w:t>Las estatinas han sido promovidas por su efecto plei</w:t>
      </w:r>
      <w:r w:rsidR="00EE66DB">
        <w:rPr>
          <w:rFonts w:ascii="Comic Sans MS" w:hAnsi="Comic Sans MS"/>
          <w:sz w:val="28"/>
          <w:szCs w:val="28"/>
        </w:rPr>
        <w:t>o</w:t>
      </w:r>
      <w:r>
        <w:rPr>
          <w:rFonts w:ascii="Comic Sans MS" w:hAnsi="Comic Sans MS"/>
          <w:sz w:val="28"/>
          <w:szCs w:val="28"/>
        </w:rPr>
        <w:t xml:space="preserve">tropico para la lesión pulmonar aguda aunque un estudio multicentrico en distres no demostró diferencias comparadas con placebo con respecto a los </w:t>
      </w:r>
      <w:r w:rsidR="00EE66DB">
        <w:rPr>
          <w:rFonts w:ascii="Comic Sans MS" w:hAnsi="Comic Sans MS"/>
          <w:sz w:val="28"/>
          <w:szCs w:val="28"/>
        </w:rPr>
        <w:t>días</w:t>
      </w:r>
      <w:r>
        <w:rPr>
          <w:rFonts w:ascii="Comic Sans MS" w:hAnsi="Comic Sans MS"/>
          <w:sz w:val="28"/>
          <w:szCs w:val="28"/>
        </w:rPr>
        <w:t xml:space="preserve"> libres de </w:t>
      </w:r>
      <w:r w:rsidR="00EE66DB">
        <w:rPr>
          <w:rFonts w:ascii="Comic Sans MS" w:hAnsi="Comic Sans MS"/>
          <w:sz w:val="28"/>
          <w:szCs w:val="28"/>
        </w:rPr>
        <w:t>ventilación, fallo</w:t>
      </w:r>
      <w:r>
        <w:rPr>
          <w:rFonts w:ascii="Comic Sans MS" w:hAnsi="Comic Sans MS"/>
          <w:sz w:val="28"/>
          <w:szCs w:val="28"/>
        </w:rPr>
        <w:t xml:space="preserve"> multiorganico y mortalidad</w:t>
      </w:r>
      <w:r w:rsidR="00EE66DB">
        <w:rPr>
          <w:rFonts w:ascii="Comic Sans MS" w:hAnsi="Comic Sans MS"/>
          <w:sz w:val="28"/>
          <w:szCs w:val="28"/>
        </w:rPr>
        <w:t>. Un estudio posthoc en el JUPITER observo una reducción de neumonía con rosuvastatina. Su beneficio no esta probado.</w:t>
      </w:r>
    </w:p>
    <w:p w:rsidR="00CD3879" w:rsidRPr="00E4699C" w:rsidRDefault="00CD3879" w:rsidP="00E4699C">
      <w:pPr>
        <w:pStyle w:val="Prrafodelista"/>
        <w:numPr>
          <w:ilvl w:val="0"/>
          <w:numId w:val="3"/>
        </w:numPr>
        <w:rPr>
          <w:rFonts w:ascii="Comic Sans MS" w:hAnsi="Comic Sans MS"/>
          <w:sz w:val="28"/>
          <w:szCs w:val="28"/>
        </w:rPr>
      </w:pPr>
      <w:r>
        <w:rPr>
          <w:rFonts w:ascii="Comic Sans MS" w:hAnsi="Comic Sans MS"/>
          <w:sz w:val="28"/>
          <w:szCs w:val="28"/>
        </w:rPr>
        <w:t>Los esteroides pueden ser utilizados con beneficios limitados y existen evidencias de aclaramiento viral demorado e incremento de infecciones.</w:t>
      </w:r>
      <w:bookmarkStart w:id="0" w:name="_GoBack"/>
      <w:bookmarkEnd w:id="0"/>
    </w:p>
    <w:sectPr w:rsidR="00CD3879" w:rsidRPr="00E4699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4049E"/>
    <w:multiLevelType w:val="hybridMultilevel"/>
    <w:tmpl w:val="AE3822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01F1C07"/>
    <w:multiLevelType w:val="hybridMultilevel"/>
    <w:tmpl w:val="EE500D02"/>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
    <w:nsid w:val="74AC33C6"/>
    <w:multiLevelType w:val="hybridMultilevel"/>
    <w:tmpl w:val="CDF84C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E9"/>
    <w:rsid w:val="000121B9"/>
    <w:rsid w:val="00034C27"/>
    <w:rsid w:val="000957B8"/>
    <w:rsid w:val="00096BC1"/>
    <w:rsid w:val="00122EC1"/>
    <w:rsid w:val="001759B8"/>
    <w:rsid w:val="001909D6"/>
    <w:rsid w:val="00314E12"/>
    <w:rsid w:val="00376A4B"/>
    <w:rsid w:val="003E2359"/>
    <w:rsid w:val="0040723E"/>
    <w:rsid w:val="00410557"/>
    <w:rsid w:val="004342CE"/>
    <w:rsid w:val="00434C43"/>
    <w:rsid w:val="00437B80"/>
    <w:rsid w:val="004E597F"/>
    <w:rsid w:val="00526B55"/>
    <w:rsid w:val="005A57A2"/>
    <w:rsid w:val="00652702"/>
    <w:rsid w:val="00690981"/>
    <w:rsid w:val="006D540C"/>
    <w:rsid w:val="006F722E"/>
    <w:rsid w:val="007002FB"/>
    <w:rsid w:val="00742AC4"/>
    <w:rsid w:val="00793305"/>
    <w:rsid w:val="0086755F"/>
    <w:rsid w:val="00882635"/>
    <w:rsid w:val="008F0F1B"/>
    <w:rsid w:val="00942C29"/>
    <w:rsid w:val="00AD70BA"/>
    <w:rsid w:val="00B1574F"/>
    <w:rsid w:val="00B66BC0"/>
    <w:rsid w:val="00B849EE"/>
    <w:rsid w:val="00B875CA"/>
    <w:rsid w:val="00BF1454"/>
    <w:rsid w:val="00BF324A"/>
    <w:rsid w:val="00C176E4"/>
    <w:rsid w:val="00C21854"/>
    <w:rsid w:val="00C602DD"/>
    <w:rsid w:val="00C71C0A"/>
    <w:rsid w:val="00CD3879"/>
    <w:rsid w:val="00CF1AA5"/>
    <w:rsid w:val="00DC5B7F"/>
    <w:rsid w:val="00DC67AD"/>
    <w:rsid w:val="00DF1322"/>
    <w:rsid w:val="00E4699C"/>
    <w:rsid w:val="00E50203"/>
    <w:rsid w:val="00E576EE"/>
    <w:rsid w:val="00E66415"/>
    <w:rsid w:val="00EA53E9"/>
    <w:rsid w:val="00EA6BC2"/>
    <w:rsid w:val="00EA6FB8"/>
    <w:rsid w:val="00EB24C4"/>
    <w:rsid w:val="00EE66DB"/>
    <w:rsid w:val="00EF180F"/>
    <w:rsid w:val="00F05B77"/>
    <w:rsid w:val="00F240C4"/>
    <w:rsid w:val="00F53F88"/>
    <w:rsid w:val="00F97C75"/>
    <w:rsid w:val="00FA5A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FAE0AF-61B3-4298-8C43-A5AD21A2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3E9"/>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Pr>
      <w:rFonts w:asciiTheme="majorHAnsi" w:eastAsiaTheme="majorEastAsia" w:hAnsiTheme="majorHAnsi" w:cstheme="majorBidi"/>
      <w:i/>
      <w:iCs/>
      <w:color w:val="404040" w:themeColor="text1" w:themeTint="BF"/>
      <w:sz w:val="20"/>
      <w:szCs w:val="20"/>
    </w:rPr>
  </w:style>
  <w:style w:type="paragraph" w:styleId="Puesto">
    <w:name w:val="Title"/>
    <w:basedOn w:val="Normal"/>
    <w:next w:val="Normal"/>
    <w:link w:val="PuestoC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qFormat/>
    <w:rPr>
      <w:i/>
      <w:iCs/>
      <w:color w:val="808080" w:themeColor="text1" w:themeTint="7F"/>
    </w:rPr>
  </w:style>
  <w:style w:type="character" w:styleId="nfasis">
    <w:name w:val="Emphasis"/>
    <w:basedOn w:val="Fuentedeprrafopredeter"/>
    <w:uiPriority w:val="20"/>
    <w:qFormat/>
    <w:rPr>
      <w:i/>
      <w:iCs/>
    </w:rPr>
  </w:style>
  <w:style w:type="character" w:styleId="nfasisintenso">
    <w:name w:val="Intense Emphasis"/>
    <w:basedOn w:val="Fuentedeprrafopredeter"/>
    <w:uiPriority w:val="21"/>
    <w:qFormat/>
    <w:rPr>
      <w:b/>
      <w:bCs/>
      <w:i/>
      <w:iCs/>
      <w:color w:val="4F81BD" w:themeColor="accent1"/>
    </w:rPr>
  </w:style>
  <w:style w:type="character" w:styleId="Textoennegrita">
    <w:name w:val="Strong"/>
    <w:basedOn w:val="Fuentedeprrafopredeter"/>
    <w:uiPriority w:val="22"/>
    <w:qFormat/>
    <w:rPr>
      <w:b/>
      <w:bCs/>
    </w:rPr>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i/>
      <w:iCs/>
      <w:color w:val="000000" w:themeColor="text1"/>
    </w:rPr>
  </w:style>
  <w:style w:type="paragraph" w:styleId="Citadestacada">
    <w:name w:val="Intense Quote"/>
    <w:basedOn w:val="Normal"/>
    <w:next w:val="Normal"/>
    <w:link w:val="Citadestacada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Pr>
      <w:b/>
      <w:bCs/>
      <w:i/>
      <w:iCs/>
      <w:color w:val="4F81BD" w:themeColor="accent1"/>
    </w:rPr>
  </w:style>
  <w:style w:type="character" w:styleId="Referenciasutil">
    <w:name w:val="Subtle Reference"/>
    <w:basedOn w:val="Fuentedeprrafopredeter"/>
    <w:uiPriority w:val="31"/>
    <w:qFormat/>
    <w:rPr>
      <w:smallCaps/>
      <w:color w:val="C0504D" w:themeColor="accent2"/>
      <w:u w:val="single"/>
    </w:rPr>
  </w:style>
  <w:style w:type="character" w:styleId="Referenciaintensa">
    <w:name w:val="Intense Reference"/>
    <w:basedOn w:val="Fuentedeprrafopredeter"/>
    <w:uiPriority w:val="32"/>
    <w:qFormat/>
    <w:rPr>
      <w:b/>
      <w:bCs/>
      <w:smallCaps/>
      <w:color w:val="C0504D" w:themeColor="accent2"/>
      <w:spacing w:val="5"/>
      <w:u w:val="single"/>
    </w:rPr>
  </w:style>
  <w:style w:type="character" w:styleId="Ttulodellibro">
    <w:name w:val="Book Title"/>
    <w:basedOn w:val="Fuentedeprrafopredeter"/>
    <w:uiPriority w:val="33"/>
    <w:qFormat/>
    <w:rPr>
      <w:b/>
      <w:bCs/>
      <w:smallCaps/>
      <w:spacing w:val="5"/>
    </w:r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000FF" w:themeColor="hyperlink"/>
      <w:u w:val="single"/>
    </w:rPr>
  </w:style>
  <w:style w:type="character" w:styleId="Hipervnculovisitado">
    <w:name w:val="FollowedHyperlink"/>
    <w:basedOn w:val="Fuentedeprrafopredeter"/>
    <w:uiPriority w:val="99"/>
    <w:unhideWhenUsed/>
    <w:rPr>
      <w:color w:val="800080" w:themeColor="followedHyperlink"/>
      <w:u w:val="single"/>
    </w:rPr>
  </w:style>
  <w:style w:type="paragraph" w:styleId="NormalWeb">
    <w:name w:val="Normal (Web)"/>
    <w:basedOn w:val="Normal"/>
    <w:uiPriority w:val="99"/>
    <w:semiHidden/>
    <w:unhideWhenUsed/>
    <w:rsid w:val="00122EC1"/>
    <w:pPr>
      <w:spacing w:before="100" w:beforeAutospacing="1" w:after="100" w:afterAutospacing="1"/>
    </w:pPr>
    <w:rPr>
      <w:rFonts w:eastAsiaTheme="minorEastAsia"/>
      <w:lang w:val="es-ES" w:eastAsia="es-ES"/>
    </w:rPr>
  </w:style>
  <w:style w:type="character" w:customStyle="1" w:styleId="tlid-translation">
    <w:name w:val="tlid-translation"/>
    <w:basedOn w:val="Fuentedeprrafopredeter"/>
    <w:rsid w:val="005A5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3082\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427</TotalTime>
  <Pages>11</Pages>
  <Words>2789</Words>
  <Characters>15342</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Prohias</dc:creator>
  <cp:keywords/>
  <dc:description/>
  <cp:lastModifiedBy>Prohias</cp:lastModifiedBy>
  <cp:revision>6</cp:revision>
  <dcterms:created xsi:type="dcterms:W3CDTF">2020-04-21T18:29:00Z</dcterms:created>
  <dcterms:modified xsi:type="dcterms:W3CDTF">2020-04-23T01:43:00Z</dcterms:modified>
</cp:coreProperties>
</file>